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ACA6BA" w14:textId="77777777" w:rsidR="00EE5FEB" w:rsidRPr="00964DB2" w:rsidRDefault="007B6984" w:rsidP="00CA71BD">
      <w:pPr>
        <w:spacing w:after="120" w:line="240" w:lineRule="auto"/>
        <w:jc w:val="both"/>
        <w:rPr>
          <w:rFonts w:eastAsia="Times New Roman" w:cstheme="minorHAnsi"/>
          <w:bCs/>
          <w:sz w:val="24"/>
          <w:szCs w:val="24"/>
          <w:lang w:eastAsia="pl-PL"/>
        </w:rPr>
      </w:pPr>
      <w:r w:rsidRPr="00964DB2">
        <w:rPr>
          <w:rFonts w:eastAsia="Times New Roman" w:cstheme="minorHAnsi"/>
          <w:bCs/>
          <w:sz w:val="24"/>
          <w:szCs w:val="24"/>
          <w:lang w:eastAsia="pl-PL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0A851E91" w14:textId="77777777" w:rsidR="00EE5FEB" w:rsidRPr="00964DB2" w:rsidRDefault="00EE5FEB" w:rsidP="00CA71BD">
      <w:pPr>
        <w:spacing w:after="120" w:line="240" w:lineRule="auto"/>
        <w:jc w:val="both"/>
        <w:rPr>
          <w:rFonts w:eastAsia="Times New Roman" w:cstheme="minorHAnsi"/>
          <w:bCs/>
          <w:sz w:val="24"/>
          <w:szCs w:val="24"/>
          <w:lang w:eastAsia="pl-PL"/>
        </w:rPr>
      </w:pPr>
    </w:p>
    <w:p w14:paraId="2FF250DB" w14:textId="7FE3C174" w:rsidR="00897D85" w:rsidRPr="00964DB2" w:rsidRDefault="00964DB2" w:rsidP="00964DB2">
      <w:pPr>
        <w:spacing w:after="120" w:line="240" w:lineRule="auto"/>
        <w:jc w:val="right"/>
        <w:rPr>
          <w:rFonts w:eastAsia="Times New Roman" w:cstheme="minorHAnsi"/>
          <w:bCs/>
          <w:sz w:val="20"/>
          <w:szCs w:val="20"/>
          <w:lang w:eastAsia="pl-PL"/>
        </w:rPr>
      </w:pPr>
      <w:r>
        <w:rPr>
          <w:rFonts w:eastAsia="Times New Roman" w:cstheme="minorHAnsi"/>
          <w:bCs/>
          <w:sz w:val="20"/>
          <w:szCs w:val="20"/>
          <w:lang w:eastAsia="pl-PL"/>
        </w:rPr>
        <w:t xml:space="preserve">       </w:t>
      </w:r>
      <w:r w:rsidR="00897D85" w:rsidRPr="00964DB2">
        <w:rPr>
          <w:rFonts w:eastAsia="Times New Roman" w:cstheme="minorHAnsi"/>
          <w:bCs/>
          <w:sz w:val="20"/>
          <w:szCs w:val="20"/>
          <w:lang w:eastAsia="pl-PL"/>
        </w:rPr>
        <w:t xml:space="preserve">Załącznik nr </w:t>
      </w:r>
      <w:r w:rsidR="000172BE">
        <w:rPr>
          <w:rFonts w:eastAsia="Times New Roman" w:cstheme="minorHAnsi"/>
          <w:bCs/>
          <w:sz w:val="20"/>
          <w:szCs w:val="20"/>
          <w:lang w:eastAsia="pl-PL"/>
        </w:rPr>
        <w:t>2</w:t>
      </w:r>
    </w:p>
    <w:p w14:paraId="7E14B387" w14:textId="77777777" w:rsidR="00897D85" w:rsidRPr="00964DB2" w:rsidRDefault="00897D85" w:rsidP="00964DB2">
      <w:pPr>
        <w:spacing w:after="120" w:line="240" w:lineRule="auto"/>
        <w:jc w:val="center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964DB2">
        <w:rPr>
          <w:rFonts w:eastAsia="Times New Roman" w:cstheme="minorHAnsi"/>
          <w:b/>
          <w:bCs/>
          <w:sz w:val="24"/>
          <w:szCs w:val="24"/>
          <w:lang w:eastAsia="pl-PL"/>
        </w:rPr>
        <w:t>OPIS PRZEDMIOTU ZAMÓWEINIA</w:t>
      </w:r>
    </w:p>
    <w:p w14:paraId="7B38374D" w14:textId="77777777" w:rsidR="00897D85" w:rsidRPr="00964DB2" w:rsidRDefault="00897D85" w:rsidP="00CA71BD">
      <w:pPr>
        <w:spacing w:after="120" w:line="240" w:lineRule="auto"/>
        <w:jc w:val="both"/>
        <w:rPr>
          <w:rFonts w:eastAsia="Times New Roman" w:cstheme="minorHAnsi"/>
          <w:b/>
          <w:bCs/>
          <w:color w:val="FF0000"/>
          <w:sz w:val="24"/>
          <w:szCs w:val="24"/>
          <w:lang w:eastAsia="pl-PL"/>
        </w:rPr>
      </w:pPr>
    </w:p>
    <w:p w14:paraId="36AE8F84" w14:textId="77777777" w:rsidR="00897D85" w:rsidRPr="00964DB2" w:rsidRDefault="00897D85" w:rsidP="00CA71BD">
      <w:pPr>
        <w:numPr>
          <w:ilvl w:val="0"/>
          <w:numId w:val="1"/>
        </w:numPr>
        <w:spacing w:after="0" w:line="240" w:lineRule="auto"/>
        <w:jc w:val="both"/>
        <w:rPr>
          <w:rFonts w:eastAsia="Verdana" w:cstheme="minorHAnsi"/>
          <w:b/>
          <w:sz w:val="24"/>
          <w:szCs w:val="24"/>
          <w:lang w:eastAsia="pl-PL"/>
        </w:rPr>
      </w:pPr>
      <w:r w:rsidRPr="00964DB2">
        <w:rPr>
          <w:rFonts w:eastAsia="Times New Roman" w:cstheme="minorHAnsi"/>
          <w:sz w:val="24"/>
          <w:szCs w:val="24"/>
          <w:lang w:eastAsia="pl-PL"/>
        </w:rPr>
        <w:t>Zamawiający:</w:t>
      </w:r>
      <w:r w:rsidRPr="00964DB2">
        <w:rPr>
          <w:rFonts w:eastAsia="Times New Roman" w:cstheme="minorHAnsi"/>
          <w:sz w:val="24"/>
          <w:szCs w:val="24"/>
          <w:lang w:eastAsia="pl-PL"/>
        </w:rPr>
        <w:tab/>
      </w:r>
      <w:r w:rsidRPr="00964DB2">
        <w:rPr>
          <w:rFonts w:eastAsia="Verdana" w:cstheme="minorHAnsi"/>
          <w:b/>
          <w:sz w:val="24"/>
          <w:szCs w:val="24"/>
          <w:lang w:eastAsia="pl-PL"/>
        </w:rPr>
        <w:t xml:space="preserve">Specjalistyczna Przychodnia Lekarska dla Pracowników Wojska SPZOZ </w:t>
      </w:r>
    </w:p>
    <w:p w14:paraId="61C48F3F" w14:textId="77777777" w:rsidR="00897D85" w:rsidRPr="00964DB2" w:rsidRDefault="00897D85" w:rsidP="00CA71BD">
      <w:pPr>
        <w:spacing w:after="0" w:line="240" w:lineRule="auto"/>
        <w:ind w:left="1758" w:firstLine="369"/>
        <w:jc w:val="both"/>
        <w:rPr>
          <w:rFonts w:eastAsia="Verdana" w:cstheme="minorHAnsi"/>
          <w:b/>
          <w:sz w:val="24"/>
          <w:szCs w:val="24"/>
          <w:lang w:eastAsia="pl-PL"/>
        </w:rPr>
      </w:pPr>
      <w:r w:rsidRPr="00964DB2">
        <w:rPr>
          <w:rFonts w:eastAsia="Verdana" w:cstheme="minorHAnsi"/>
          <w:b/>
          <w:sz w:val="24"/>
          <w:szCs w:val="24"/>
          <w:lang w:eastAsia="pl-PL"/>
        </w:rPr>
        <w:t>w Warszawie</w:t>
      </w:r>
    </w:p>
    <w:p w14:paraId="4CB84AFD" w14:textId="77777777" w:rsidR="00897D85" w:rsidRPr="00964DB2" w:rsidRDefault="00897D85" w:rsidP="00CA71BD">
      <w:pPr>
        <w:numPr>
          <w:ilvl w:val="0"/>
          <w:numId w:val="1"/>
        </w:numPr>
        <w:spacing w:after="0" w:line="240" w:lineRule="auto"/>
        <w:jc w:val="both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964DB2">
        <w:rPr>
          <w:rFonts w:eastAsia="Times New Roman" w:cstheme="minorHAnsi"/>
          <w:sz w:val="24"/>
          <w:szCs w:val="24"/>
          <w:lang w:eastAsia="pl-PL"/>
        </w:rPr>
        <w:t>Adres zamawiającego:</w:t>
      </w:r>
      <w:r w:rsidRPr="00964DB2">
        <w:rPr>
          <w:rFonts w:eastAsia="Times New Roman" w:cstheme="minorHAnsi"/>
          <w:sz w:val="24"/>
          <w:szCs w:val="24"/>
          <w:lang w:eastAsia="pl-PL"/>
        </w:rPr>
        <w:tab/>
      </w:r>
    </w:p>
    <w:p w14:paraId="5521A35A" w14:textId="77777777" w:rsidR="00897D85" w:rsidRPr="00964DB2" w:rsidRDefault="00897D85" w:rsidP="00CA71BD">
      <w:pPr>
        <w:spacing w:after="0" w:line="240" w:lineRule="auto"/>
        <w:ind w:left="340"/>
        <w:jc w:val="both"/>
        <w:rPr>
          <w:rFonts w:eastAsia="Verdana" w:cstheme="minorHAnsi"/>
          <w:sz w:val="24"/>
          <w:szCs w:val="24"/>
          <w:lang w:eastAsia="pl-PL"/>
        </w:rPr>
      </w:pPr>
      <w:r w:rsidRPr="00964DB2">
        <w:rPr>
          <w:rFonts w:eastAsia="Verdana" w:cstheme="minorHAnsi"/>
          <w:sz w:val="24"/>
          <w:szCs w:val="24"/>
          <w:lang w:eastAsia="pl-PL"/>
        </w:rPr>
        <w:t>00-911 Warszawa ul. Nowowiejska 31</w:t>
      </w:r>
    </w:p>
    <w:p w14:paraId="06848C90" w14:textId="77777777" w:rsidR="00897D85" w:rsidRPr="00621313" w:rsidRDefault="00897D85" w:rsidP="00CA71BD">
      <w:pPr>
        <w:spacing w:after="0" w:line="240" w:lineRule="auto"/>
        <w:ind w:left="340"/>
        <w:jc w:val="both"/>
        <w:rPr>
          <w:rFonts w:eastAsia="Times New Roman" w:cstheme="minorHAnsi"/>
          <w:sz w:val="24"/>
          <w:szCs w:val="24"/>
          <w:lang w:eastAsia="pl-PL"/>
        </w:rPr>
      </w:pPr>
      <w:r w:rsidRPr="00964DB2">
        <w:rPr>
          <w:rFonts w:eastAsia="Times New Roman" w:cstheme="minorHAnsi"/>
          <w:sz w:val="24"/>
          <w:szCs w:val="24"/>
          <w:lang w:eastAsia="pl-PL"/>
        </w:rPr>
        <w:t xml:space="preserve">tel.: 22 526 42 </w:t>
      </w:r>
      <w:r w:rsidRPr="00621313">
        <w:rPr>
          <w:rFonts w:eastAsia="Times New Roman" w:cstheme="minorHAnsi"/>
          <w:sz w:val="24"/>
          <w:szCs w:val="24"/>
          <w:lang w:eastAsia="pl-PL"/>
        </w:rPr>
        <w:t>17</w:t>
      </w:r>
    </w:p>
    <w:p w14:paraId="26113420" w14:textId="77777777" w:rsidR="00897D85" w:rsidRPr="00621313" w:rsidRDefault="00897D85" w:rsidP="00CA71BD">
      <w:pPr>
        <w:spacing w:after="0" w:line="240" w:lineRule="auto"/>
        <w:ind w:left="340"/>
        <w:jc w:val="both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621313">
        <w:rPr>
          <w:rFonts w:eastAsia="Times New Roman" w:cstheme="minorHAnsi"/>
          <w:sz w:val="24"/>
          <w:szCs w:val="24"/>
          <w:lang w:eastAsia="pl-PL"/>
        </w:rPr>
        <w:t>fax.: 261 87 41 70</w:t>
      </w:r>
    </w:p>
    <w:p w14:paraId="7D0971DC" w14:textId="77777777" w:rsidR="00897D85" w:rsidRPr="00621313" w:rsidRDefault="00897D85" w:rsidP="00CA71BD">
      <w:pPr>
        <w:spacing w:after="0" w:line="240" w:lineRule="auto"/>
        <w:ind w:left="340"/>
        <w:jc w:val="both"/>
        <w:rPr>
          <w:rFonts w:eastAsia="Times New Roman" w:cstheme="minorHAnsi"/>
          <w:b/>
          <w:bCs/>
          <w:sz w:val="24"/>
          <w:szCs w:val="24"/>
          <w:lang w:val="en-US" w:eastAsia="pl-PL"/>
        </w:rPr>
      </w:pPr>
      <w:r w:rsidRPr="00621313">
        <w:rPr>
          <w:rFonts w:eastAsia="Times New Roman" w:cstheme="minorHAnsi"/>
          <w:b/>
          <w:bCs/>
          <w:sz w:val="24"/>
          <w:szCs w:val="24"/>
          <w:lang w:val="en-US" w:eastAsia="pl-PL"/>
        </w:rPr>
        <w:t xml:space="preserve">e-mail: </w:t>
      </w:r>
    </w:p>
    <w:p w14:paraId="6E61F4A3" w14:textId="77777777" w:rsidR="00897D85" w:rsidRPr="00621313" w:rsidRDefault="00897D85" w:rsidP="00CA71BD">
      <w:pPr>
        <w:spacing w:after="0" w:line="240" w:lineRule="auto"/>
        <w:ind w:left="340"/>
        <w:jc w:val="both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621313">
        <w:rPr>
          <w:rFonts w:eastAsia="Times New Roman" w:cstheme="minorHAnsi"/>
          <w:sz w:val="24"/>
          <w:szCs w:val="24"/>
          <w:lang w:eastAsia="pl-PL"/>
        </w:rPr>
        <w:t>nieruchomosci@spl.pl</w:t>
      </w:r>
      <w:r w:rsidRPr="00621313">
        <w:rPr>
          <w:rFonts w:eastAsia="Times New Roman" w:cstheme="minorHAnsi"/>
          <w:sz w:val="24"/>
          <w:szCs w:val="24"/>
          <w:lang w:eastAsia="pl-PL"/>
        </w:rPr>
        <w:br/>
      </w:r>
      <w:r w:rsidRPr="00621313">
        <w:rPr>
          <w:rFonts w:eastAsia="Times New Roman" w:cstheme="minorHAnsi"/>
          <w:b/>
          <w:bCs/>
          <w:sz w:val="24"/>
          <w:szCs w:val="24"/>
          <w:lang w:eastAsia="pl-PL"/>
        </w:rPr>
        <w:t>strona internetowa: http://www.spl.pl/</w:t>
      </w:r>
    </w:p>
    <w:p w14:paraId="3EF30AD3" w14:textId="77777777" w:rsidR="00897D85" w:rsidRPr="00621313" w:rsidRDefault="00897D85" w:rsidP="00CA71BD">
      <w:pPr>
        <w:spacing w:after="12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</w:p>
    <w:p w14:paraId="2AAAEA3A" w14:textId="6AD431CD" w:rsidR="00CA71BD" w:rsidRPr="00621313" w:rsidRDefault="00897D85" w:rsidP="00CA71BD">
      <w:pPr>
        <w:pStyle w:val="Nagwek1"/>
        <w:ind w:left="431" w:hanging="431"/>
        <w:rPr>
          <w:rFonts w:asciiTheme="minorHAnsi" w:hAnsiTheme="minorHAnsi" w:cstheme="minorHAnsi"/>
          <w:sz w:val="24"/>
          <w:szCs w:val="24"/>
        </w:rPr>
      </w:pPr>
      <w:r w:rsidRPr="00621313">
        <w:rPr>
          <w:rFonts w:asciiTheme="minorHAnsi" w:hAnsiTheme="minorHAnsi" w:cstheme="minorHAnsi"/>
          <w:sz w:val="24"/>
          <w:szCs w:val="24"/>
        </w:rPr>
        <w:t>Przedmiot zamówienia</w:t>
      </w:r>
    </w:p>
    <w:p w14:paraId="79E88DCE" w14:textId="5BA7DE2F" w:rsidR="00CA71BD" w:rsidRPr="00621313" w:rsidRDefault="00CA71BD" w:rsidP="00CA71BD">
      <w:pPr>
        <w:tabs>
          <w:tab w:val="left" w:pos="720"/>
        </w:tabs>
        <w:jc w:val="both"/>
        <w:rPr>
          <w:rFonts w:cstheme="minorHAnsi"/>
          <w:b/>
          <w:bCs/>
        </w:rPr>
      </w:pPr>
      <w:r w:rsidRPr="00621313">
        <w:rPr>
          <w:rFonts w:cstheme="minorHAnsi"/>
          <w:b/>
          <w:bCs/>
        </w:rPr>
        <w:t xml:space="preserve">Przedmiotem zamówienia jest </w:t>
      </w:r>
      <w:r w:rsidR="004954C1" w:rsidRPr="00621313">
        <w:rPr>
          <w:rFonts w:cstheme="minorHAnsi"/>
          <w:b/>
          <w:bCs/>
        </w:rPr>
        <w:t xml:space="preserve">modernizacja / </w:t>
      </w:r>
      <w:r w:rsidRPr="00621313">
        <w:rPr>
          <w:rFonts w:cstheme="minorHAnsi"/>
          <w:b/>
          <w:bCs/>
        </w:rPr>
        <w:t xml:space="preserve">budowa instalacji wody hydrantowej w fili Specjalistycznej Przychodni Lekarskiej dla Pracowników Wojska SPZOZ w Warszawie przy ul. Andersa 16 – Przychodni Specjalistycznej oraz Przychodni Stomatologicznej. </w:t>
      </w:r>
    </w:p>
    <w:p w14:paraId="20E680D8" w14:textId="2EE8312B" w:rsidR="00CA71BD" w:rsidRPr="00621313" w:rsidRDefault="00CA71BD" w:rsidP="00CA71BD">
      <w:pPr>
        <w:pStyle w:val="Punkty"/>
        <w:rPr>
          <w:rFonts w:asciiTheme="minorHAnsi" w:hAnsiTheme="minorHAnsi" w:cstheme="minorHAnsi"/>
        </w:rPr>
      </w:pPr>
      <w:bookmarkStart w:id="0" w:name="_Toc177972100"/>
      <w:bookmarkStart w:id="1" w:name="_Toc193189346"/>
      <w:bookmarkStart w:id="2" w:name="_Toc203739208"/>
      <w:r w:rsidRPr="00621313">
        <w:rPr>
          <w:rFonts w:asciiTheme="minorHAnsi" w:hAnsiTheme="minorHAnsi" w:cstheme="minorHAnsi"/>
        </w:rPr>
        <w:t>Wymagania techniczne COBRTI INSTAL - Zeszyt 7.  Warunki techniczne wykonania i odbioru Instalacji Wodociągowych</w:t>
      </w:r>
      <w:r w:rsidR="00964DB2" w:rsidRPr="00621313">
        <w:rPr>
          <w:rFonts w:asciiTheme="minorHAnsi" w:hAnsiTheme="minorHAnsi" w:cstheme="minorHAnsi"/>
        </w:rPr>
        <w:t>.</w:t>
      </w:r>
    </w:p>
    <w:p w14:paraId="18EFEFE5" w14:textId="66321981" w:rsidR="00964DB2" w:rsidRPr="00621313" w:rsidRDefault="00964DB2" w:rsidP="00964DB2">
      <w:pPr>
        <w:pStyle w:val="Nagwek1"/>
        <w:ind w:left="431" w:hanging="431"/>
        <w:rPr>
          <w:rFonts w:asciiTheme="minorHAnsi" w:hAnsiTheme="minorHAnsi" w:cstheme="minorHAnsi"/>
          <w:b w:val="0"/>
          <w:bCs/>
          <w:sz w:val="24"/>
          <w:szCs w:val="24"/>
        </w:rPr>
      </w:pPr>
      <w:r w:rsidRPr="00621313">
        <w:rPr>
          <w:rFonts w:asciiTheme="minorHAnsi" w:hAnsiTheme="minorHAnsi" w:cstheme="minorHAnsi"/>
          <w:sz w:val="24"/>
          <w:szCs w:val="24"/>
        </w:rPr>
        <w:t xml:space="preserve">Termin obowiązywania umowy –  </w:t>
      </w:r>
      <w:r w:rsidR="004954C1" w:rsidRPr="00621313">
        <w:rPr>
          <w:rFonts w:asciiTheme="minorHAnsi" w:hAnsiTheme="minorHAnsi" w:cstheme="minorHAnsi"/>
          <w:b w:val="0"/>
          <w:bCs/>
          <w:sz w:val="24"/>
          <w:szCs w:val="24"/>
        </w:rPr>
        <w:t>2</w:t>
      </w:r>
      <w:r w:rsidRPr="00621313">
        <w:rPr>
          <w:rFonts w:asciiTheme="minorHAnsi" w:hAnsiTheme="minorHAnsi" w:cstheme="minorHAnsi"/>
          <w:b w:val="0"/>
          <w:bCs/>
          <w:sz w:val="24"/>
          <w:szCs w:val="24"/>
        </w:rPr>
        <w:t xml:space="preserve">0 - </w:t>
      </w:r>
      <w:r w:rsidR="004954C1" w:rsidRPr="00621313">
        <w:rPr>
          <w:rFonts w:asciiTheme="minorHAnsi" w:hAnsiTheme="minorHAnsi" w:cstheme="minorHAnsi"/>
          <w:b w:val="0"/>
          <w:bCs/>
          <w:sz w:val="24"/>
          <w:szCs w:val="24"/>
        </w:rPr>
        <w:t>3</w:t>
      </w:r>
      <w:r w:rsidRPr="00621313">
        <w:rPr>
          <w:rFonts w:asciiTheme="minorHAnsi" w:hAnsiTheme="minorHAnsi" w:cstheme="minorHAnsi"/>
          <w:b w:val="0"/>
          <w:bCs/>
          <w:sz w:val="24"/>
          <w:szCs w:val="24"/>
        </w:rPr>
        <w:t>0 dni</w:t>
      </w:r>
      <w:r w:rsidRPr="00621313">
        <w:rPr>
          <w:rStyle w:val="Odwoanieprzypisudolnego"/>
          <w:rFonts w:asciiTheme="minorHAnsi" w:hAnsiTheme="minorHAnsi" w:cstheme="minorHAnsi"/>
          <w:b w:val="0"/>
          <w:bCs/>
          <w:sz w:val="24"/>
          <w:szCs w:val="24"/>
        </w:rPr>
        <w:footnoteReference w:id="1"/>
      </w:r>
      <w:r w:rsidRPr="00621313">
        <w:rPr>
          <w:rFonts w:asciiTheme="minorHAnsi" w:hAnsiTheme="minorHAnsi" w:cstheme="minorHAnsi"/>
          <w:b w:val="0"/>
          <w:bCs/>
          <w:sz w:val="24"/>
          <w:szCs w:val="24"/>
        </w:rPr>
        <w:t xml:space="preserve"> kalendarzowych od dnia jej zawarcia</w:t>
      </w:r>
      <w:r w:rsidR="004954C1" w:rsidRPr="00621313">
        <w:rPr>
          <w:rFonts w:asciiTheme="minorHAnsi" w:hAnsiTheme="minorHAnsi" w:cstheme="minorHAnsi"/>
          <w:b w:val="0"/>
          <w:bCs/>
          <w:sz w:val="24"/>
          <w:szCs w:val="24"/>
        </w:rPr>
        <w:t xml:space="preserve"> jednak nie później niż do dnia 05.03.2026 r.</w:t>
      </w:r>
    </w:p>
    <w:p w14:paraId="59189346" w14:textId="77777777" w:rsidR="00964DB2" w:rsidRPr="00621313" w:rsidRDefault="00964DB2" w:rsidP="00964DB2">
      <w:pPr>
        <w:pStyle w:val="Nagwek1"/>
        <w:numPr>
          <w:ilvl w:val="0"/>
          <w:numId w:val="0"/>
        </w:numPr>
        <w:spacing w:line="240" w:lineRule="auto"/>
        <w:rPr>
          <w:rFonts w:asciiTheme="minorHAnsi" w:hAnsiTheme="minorHAnsi" w:cstheme="minorHAnsi"/>
        </w:rPr>
      </w:pPr>
      <w:bookmarkStart w:id="3" w:name="_Toc215341850"/>
    </w:p>
    <w:p w14:paraId="45E993AB" w14:textId="397BAFEB" w:rsidR="00CA71BD" w:rsidRPr="00621313" w:rsidRDefault="00CA71BD" w:rsidP="00964DB2">
      <w:pPr>
        <w:pStyle w:val="Nagwek1"/>
        <w:ind w:left="431" w:hanging="431"/>
        <w:rPr>
          <w:rFonts w:asciiTheme="minorHAnsi" w:hAnsiTheme="minorHAnsi" w:cstheme="minorHAnsi"/>
        </w:rPr>
      </w:pPr>
      <w:r w:rsidRPr="00621313">
        <w:rPr>
          <w:rFonts w:asciiTheme="minorHAnsi" w:hAnsiTheme="minorHAnsi" w:cstheme="minorHAnsi"/>
        </w:rPr>
        <w:t>Rodzaj i kategoria obiektu budowlanego</w:t>
      </w:r>
      <w:bookmarkEnd w:id="0"/>
      <w:bookmarkEnd w:id="1"/>
      <w:bookmarkEnd w:id="3"/>
    </w:p>
    <w:p w14:paraId="2CD2DF9D" w14:textId="7B64BE6D" w:rsidR="00CA71BD" w:rsidRPr="00621313" w:rsidRDefault="00CA71BD" w:rsidP="00621313">
      <w:pPr>
        <w:spacing w:after="0" w:line="240" w:lineRule="auto"/>
        <w:jc w:val="both"/>
        <w:rPr>
          <w:rFonts w:cstheme="minorHAnsi"/>
        </w:rPr>
      </w:pPr>
      <w:r w:rsidRPr="00621313">
        <w:rPr>
          <w:rFonts w:cstheme="minorHAnsi"/>
        </w:rPr>
        <w:t xml:space="preserve">Budynek, w którym planowana jest </w:t>
      </w:r>
      <w:r w:rsidR="004954C1" w:rsidRPr="00621313">
        <w:rPr>
          <w:rFonts w:cstheme="minorHAnsi"/>
        </w:rPr>
        <w:t xml:space="preserve">modernizacja / </w:t>
      </w:r>
      <w:r w:rsidRPr="00621313">
        <w:rPr>
          <w:rFonts w:cstheme="minorHAnsi"/>
        </w:rPr>
        <w:t xml:space="preserve">budowa instalacji wody hydrantowej zaliczany jest do XIII kategorii obiektów budowlanych, tzn. „pozostałe budynki mieszkalne”. </w:t>
      </w:r>
    </w:p>
    <w:p w14:paraId="30D9515E" w14:textId="77777777" w:rsidR="00CA71BD" w:rsidRPr="00621313" w:rsidRDefault="00CA71BD" w:rsidP="00CA71BD">
      <w:pPr>
        <w:pStyle w:val="Nagwek1"/>
        <w:rPr>
          <w:rFonts w:asciiTheme="minorHAnsi" w:hAnsiTheme="minorHAnsi" w:cstheme="minorHAnsi"/>
        </w:rPr>
      </w:pPr>
      <w:bookmarkStart w:id="4" w:name="_Toc177972101"/>
      <w:bookmarkStart w:id="5" w:name="_Toc193189347"/>
      <w:bookmarkStart w:id="6" w:name="_Toc215341851"/>
      <w:r w:rsidRPr="00621313">
        <w:rPr>
          <w:rFonts w:asciiTheme="minorHAnsi" w:hAnsiTheme="minorHAnsi" w:cstheme="minorHAnsi"/>
        </w:rPr>
        <w:t>Zamierzony sposób użytkowania obiektu budowlanego</w:t>
      </w:r>
      <w:bookmarkEnd w:id="4"/>
      <w:bookmarkEnd w:id="5"/>
      <w:bookmarkEnd w:id="6"/>
    </w:p>
    <w:p w14:paraId="1C1359FE" w14:textId="77777777" w:rsidR="00CA71BD" w:rsidRPr="00621313" w:rsidRDefault="00CA71BD" w:rsidP="00CA71BD">
      <w:pPr>
        <w:jc w:val="both"/>
        <w:rPr>
          <w:rFonts w:cstheme="minorHAnsi"/>
        </w:rPr>
      </w:pPr>
      <w:r w:rsidRPr="00621313">
        <w:rPr>
          <w:rFonts w:cstheme="minorHAnsi"/>
        </w:rPr>
        <w:t xml:space="preserve">Sposób użytkowania obiektów budowlanych pozostaje bez zmian. Projektowana instalacja wody hydrantowej nie wpływa na sposób użytkowania obiektu. </w:t>
      </w:r>
    </w:p>
    <w:p w14:paraId="2D702CC2" w14:textId="77777777" w:rsidR="00CA71BD" w:rsidRPr="00621313" w:rsidRDefault="00CA71BD" w:rsidP="00CA71BD">
      <w:pPr>
        <w:pStyle w:val="Nagwek1"/>
        <w:rPr>
          <w:rFonts w:asciiTheme="minorHAnsi" w:hAnsiTheme="minorHAnsi" w:cstheme="minorHAnsi"/>
        </w:rPr>
      </w:pPr>
      <w:bookmarkStart w:id="7" w:name="_Toc213059248"/>
      <w:bookmarkStart w:id="8" w:name="_Toc215341852"/>
      <w:bookmarkEnd w:id="2"/>
      <w:r w:rsidRPr="00621313">
        <w:rPr>
          <w:rFonts w:asciiTheme="minorHAnsi" w:hAnsiTheme="minorHAnsi" w:cstheme="minorHAnsi"/>
        </w:rPr>
        <w:lastRenderedPageBreak/>
        <w:t>Opis stanu istniejącego</w:t>
      </w:r>
      <w:bookmarkEnd w:id="7"/>
      <w:bookmarkEnd w:id="8"/>
    </w:p>
    <w:p w14:paraId="4371CCE4" w14:textId="187D4777" w:rsidR="00CA71BD" w:rsidRPr="00621313" w:rsidRDefault="00CA71BD" w:rsidP="00CA71BD">
      <w:pPr>
        <w:jc w:val="both"/>
        <w:rPr>
          <w:rFonts w:cstheme="minorHAnsi"/>
        </w:rPr>
      </w:pPr>
      <w:r w:rsidRPr="00621313">
        <w:rPr>
          <w:rFonts w:cstheme="minorHAnsi"/>
        </w:rPr>
        <w:t>Przychodnia specjalistyczna oraz stomatologiczna znajdują się w budynku mieszkalnym wielorodzinnym. Przychodnie znajdują się w lokalach usługowych w budynku:</w:t>
      </w:r>
    </w:p>
    <w:p w14:paraId="7FCE2C6D" w14:textId="77777777" w:rsidR="00CA71BD" w:rsidRPr="00621313" w:rsidRDefault="00CA71BD" w:rsidP="00CA71BD">
      <w:pPr>
        <w:pStyle w:val="Punkty"/>
        <w:rPr>
          <w:rFonts w:asciiTheme="minorHAnsi" w:hAnsiTheme="minorHAnsi" w:cstheme="minorHAnsi"/>
        </w:rPr>
      </w:pPr>
      <w:r w:rsidRPr="00621313">
        <w:rPr>
          <w:rFonts w:asciiTheme="minorHAnsi" w:hAnsiTheme="minorHAnsi" w:cstheme="minorHAnsi"/>
        </w:rPr>
        <w:t>na parterze i piętrze – Przychodnia  specjalistyczna,</w:t>
      </w:r>
    </w:p>
    <w:p w14:paraId="238B5D7E" w14:textId="77777777" w:rsidR="00CA71BD" w:rsidRPr="00621313" w:rsidRDefault="00CA71BD" w:rsidP="00CA71BD">
      <w:pPr>
        <w:pStyle w:val="Punkty"/>
        <w:rPr>
          <w:rFonts w:asciiTheme="minorHAnsi" w:hAnsiTheme="minorHAnsi" w:cstheme="minorHAnsi"/>
        </w:rPr>
      </w:pPr>
      <w:r w:rsidRPr="00621313">
        <w:rPr>
          <w:rFonts w:asciiTheme="minorHAnsi" w:hAnsiTheme="minorHAnsi" w:cstheme="minorHAnsi"/>
        </w:rPr>
        <w:t xml:space="preserve">na drugiej części parteru i piętrze   – Przychodnia stomatologiczna. </w:t>
      </w:r>
    </w:p>
    <w:p w14:paraId="348E630C" w14:textId="77777777" w:rsidR="00CA71BD" w:rsidRPr="00621313" w:rsidRDefault="00CA71BD" w:rsidP="00CA71BD">
      <w:pPr>
        <w:jc w:val="both"/>
        <w:rPr>
          <w:rFonts w:cstheme="minorHAnsi"/>
        </w:rPr>
      </w:pPr>
      <w:r w:rsidRPr="00621313">
        <w:rPr>
          <w:rFonts w:cstheme="minorHAnsi"/>
        </w:rPr>
        <w:t>Wymienione przychodnie mają podobną powierzchnię i kubaturę.</w:t>
      </w:r>
    </w:p>
    <w:p w14:paraId="557A86A5" w14:textId="3564A850" w:rsidR="00CA71BD" w:rsidRPr="00964DB2" w:rsidRDefault="00CA71BD" w:rsidP="00CA71BD">
      <w:pPr>
        <w:jc w:val="both"/>
        <w:rPr>
          <w:rFonts w:cstheme="minorHAnsi"/>
          <w:color w:val="FF0000"/>
        </w:rPr>
      </w:pPr>
      <w:r w:rsidRPr="00621313">
        <w:rPr>
          <w:rFonts w:cstheme="minorHAnsi"/>
        </w:rPr>
        <w:t>Przyłącze instalacji wodnej do budynku oraz hydrofornia znajduje się w wydzielonym pomieszczeniu w</w:t>
      </w:r>
      <w:r w:rsidR="00EE01E2" w:rsidRPr="00621313">
        <w:rPr>
          <w:rFonts w:cstheme="minorHAnsi"/>
        </w:rPr>
        <w:t> </w:t>
      </w:r>
      <w:r w:rsidRPr="00621313">
        <w:rPr>
          <w:rFonts w:cstheme="minorHAnsi"/>
        </w:rPr>
        <w:t>piwnicy. Instalacja rozprowadzona jest pod stropem piwnicy do pionów zasilających poszczególne lokale usługowe oraz grupy mieszkań. W piwnicy znajdują się przeważnie komó</w:t>
      </w:r>
      <w:r w:rsidRPr="00964DB2">
        <w:rPr>
          <w:rFonts w:cstheme="minorHAnsi"/>
        </w:rPr>
        <w:t xml:space="preserve">rki lokatorskie mieszkańców i pomieszczenia techniczne (przyłącze wody).  </w:t>
      </w:r>
    </w:p>
    <w:p w14:paraId="588C4620" w14:textId="078175FB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W budynku nie ma wyodrębnionej instalacji hydrantowej. Hydranty w przychodniach zasilane są z</w:t>
      </w:r>
      <w:r w:rsidR="00EE01E2">
        <w:rPr>
          <w:rFonts w:cstheme="minorHAnsi"/>
        </w:rPr>
        <w:t> </w:t>
      </w:r>
      <w:r w:rsidRPr="00964DB2">
        <w:rPr>
          <w:rFonts w:cstheme="minorHAnsi"/>
        </w:rPr>
        <w:t>instalacji wody użytkowej. W przychodni specjalistycznej występuje jedno przyłącze wody z piwnicy, zasilające przybory sanitarne oraz hydranty wewnętrzne w lokalu. W przychodni stomatologicznej istnieją dwa przyłącza wody, oddzielnie dla przyborów sanitarnych, oddzielnie dla hydrantu. Oba przyłącza wyprowadzone są jednak z tego samego rurociągu na poziomie piwnicy.</w:t>
      </w:r>
    </w:p>
    <w:p w14:paraId="186B1FD4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W przychodni specjalistycznej znajdują się dwa hydranty wewnętrzne DN25 z wężem półsztywnym, po jednym na piętro. Hydranty są w dobrym stanie i można wykorzystać je w projektowanej instalacji wody hydrantowej. </w:t>
      </w:r>
    </w:p>
    <w:p w14:paraId="60B0D890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W przychodni stomatologicznej znajduje się jeden hydrant wewnętrzny z wężem płasko składanym zlokalizowany we wnęce ściennej na parterze. Na piętrze przychodni stomatologicznej brak hydrantu wewnętrznego. </w:t>
      </w:r>
    </w:p>
    <w:p w14:paraId="7B70F043" w14:textId="77777777" w:rsidR="00CA71BD" w:rsidRPr="00964DB2" w:rsidRDefault="00CA71BD" w:rsidP="00CA71BD">
      <w:pPr>
        <w:pStyle w:val="Nagwek1"/>
        <w:rPr>
          <w:rFonts w:asciiTheme="minorHAnsi" w:hAnsiTheme="minorHAnsi" w:cstheme="minorHAnsi"/>
        </w:rPr>
      </w:pPr>
      <w:bookmarkStart w:id="9" w:name="_Toc203467139"/>
      <w:bookmarkStart w:id="10" w:name="_Toc213059249"/>
      <w:bookmarkStart w:id="11" w:name="_Toc215341853"/>
      <w:r w:rsidRPr="00964DB2">
        <w:rPr>
          <w:rFonts w:asciiTheme="minorHAnsi" w:hAnsiTheme="minorHAnsi" w:cstheme="minorHAnsi"/>
        </w:rPr>
        <w:t>Demontaże</w:t>
      </w:r>
      <w:bookmarkEnd w:id="9"/>
      <w:bookmarkEnd w:id="10"/>
      <w:bookmarkEnd w:id="11"/>
    </w:p>
    <w:p w14:paraId="36BE4662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Przewiduje się odłączenie hydrantów wewnętrznych od instalacji wody użytkowej. W przychodni stomatologicznej należy zdemontować hydrant wewnętrzny na parterze budynku. W piwnicy należy zdemontować fragment rurociągu zasilający hydrant wewnętrzny w przychodni stomatologicznej. </w:t>
      </w:r>
    </w:p>
    <w:p w14:paraId="3C9EE3CF" w14:textId="77777777" w:rsidR="00CA71BD" w:rsidRPr="00964DB2" w:rsidRDefault="00CA71BD" w:rsidP="00CA71BD">
      <w:pPr>
        <w:pStyle w:val="Nagwek1"/>
        <w:rPr>
          <w:rFonts w:asciiTheme="minorHAnsi" w:hAnsiTheme="minorHAnsi" w:cstheme="minorHAnsi"/>
        </w:rPr>
      </w:pPr>
      <w:bookmarkStart w:id="12" w:name="_Toc213059267"/>
      <w:bookmarkStart w:id="13" w:name="_Toc215341854"/>
      <w:r w:rsidRPr="00964DB2">
        <w:rPr>
          <w:rFonts w:asciiTheme="minorHAnsi" w:hAnsiTheme="minorHAnsi" w:cstheme="minorHAnsi"/>
        </w:rPr>
        <w:t>Instalacja hydrantowa</w:t>
      </w:r>
      <w:bookmarkEnd w:id="12"/>
      <w:bookmarkEnd w:id="13"/>
    </w:p>
    <w:p w14:paraId="36965D9B" w14:textId="77777777" w:rsidR="00CA71BD" w:rsidRPr="00964DB2" w:rsidRDefault="00CA71BD" w:rsidP="00CA71BD">
      <w:pPr>
        <w:pStyle w:val="Nagwek2"/>
        <w:rPr>
          <w:rFonts w:asciiTheme="minorHAnsi" w:hAnsiTheme="minorHAnsi" w:cstheme="minorHAnsi"/>
        </w:rPr>
      </w:pPr>
      <w:bookmarkStart w:id="14" w:name="_Toc213059268"/>
      <w:bookmarkStart w:id="15" w:name="_Toc215341855"/>
      <w:r w:rsidRPr="00964DB2">
        <w:rPr>
          <w:rFonts w:asciiTheme="minorHAnsi" w:hAnsiTheme="minorHAnsi" w:cstheme="minorHAnsi"/>
        </w:rPr>
        <w:t>Dane ogólne</w:t>
      </w:r>
      <w:bookmarkEnd w:id="14"/>
      <w:bookmarkEnd w:id="15"/>
    </w:p>
    <w:p w14:paraId="4191E23E" w14:textId="453044F2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  <w:lang w:eastAsia="ar-SA"/>
        </w:rPr>
        <w:t>W obiekcie przewidziano instalację dla potrzeb wewnętrznej ochrony przeciwpożarowej zgodnie z Rozporządzeniem Ministra Spraw Wewnętrznych i Administracji z dnia 7 czerwca 2010 r. w sprawie ochrony przeciwpożarowej budynków, innych obiektów budowlanych i terenów (</w:t>
      </w:r>
      <w:r w:rsidRPr="00964DB2">
        <w:rPr>
          <w:rFonts w:cstheme="minorHAnsi"/>
        </w:rPr>
        <w:t xml:space="preserve">t.j. Dz.U. 2023 poz. 822 ze zm.). </w:t>
      </w:r>
    </w:p>
    <w:p w14:paraId="14A143AF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Przewiduje się wykonanie nowej instalacji wody hydrantowej od pomieszczenia przyłącza wody do lokalów usługowych (przychodnia stomatologiczna oraz przychodnia specjalistyczna). </w:t>
      </w:r>
    </w:p>
    <w:p w14:paraId="09AE5E47" w14:textId="79AD67A9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W tym celu za zestawem hydroforowym na instalacji wodnej należy zamontować trójnik i włączyć w tym miejscu projektowaną instalację wody hydrantowej. Na przyłączu należy zamontować czujnik przepływu (w zestawie z zaworem pierwszeństwa), zawór odcinający zabezpieczony przed przypadkowym </w:t>
      </w:r>
      <w:r w:rsidRPr="00964DB2">
        <w:rPr>
          <w:rFonts w:cstheme="minorHAnsi"/>
        </w:rPr>
        <w:lastRenderedPageBreak/>
        <w:t xml:space="preserve">zamknięciem oraz zawór antyskażeniowy typu EA. Na instalacji wody użytkowej za projektowanym trójnikiem należy zamontować zawór pierwszeństwa, odcinający przepływ na instalacji w przypadku wykrycia przepływu na instalacji wody hydrantowej. </w:t>
      </w:r>
    </w:p>
    <w:p w14:paraId="01638B22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W przychodni specjalistycznej przewiduje się montaż nowego przyłącza wody z piwnicy. W przychodni stomatologicznej dopuszcza się wykorzystanie istniejącego, stalowego przyłącza wody do hydrantu wewnętrznego. </w:t>
      </w:r>
    </w:p>
    <w:p w14:paraId="62DD59D0" w14:textId="486D9126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W przychodni specjalistycznej planuje się wykorzystanie istniejących hydrantów wewnętrznych DN25. W</w:t>
      </w:r>
      <w:r w:rsidR="00EE01E2">
        <w:rPr>
          <w:rFonts w:cstheme="minorHAnsi"/>
        </w:rPr>
        <w:t> </w:t>
      </w:r>
      <w:r w:rsidRPr="00964DB2">
        <w:rPr>
          <w:rFonts w:cstheme="minorHAnsi"/>
        </w:rPr>
        <w:t>przychodni stomatologicznej przewiduje się montaż dwóch nowych hydrantów DN25 z wężem półsztywnym.</w:t>
      </w:r>
    </w:p>
    <w:p w14:paraId="60CB5ED2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Przewiduje się opomiarowanie wody hydrantowej. W tym celu projektuje się montaż wodomierza na rurociągu w pomieszczeniu przyłącza wody. Przewiduje się zastosowanie wodomierza o parametrach: </w:t>
      </w:r>
    </w:p>
    <w:p w14:paraId="750196EC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DN40</w:t>
      </w:r>
    </w:p>
    <w:p w14:paraId="5907C682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Ciągły strumień objęto</w:t>
      </w:r>
      <w:r w:rsidRPr="00964DB2">
        <w:rPr>
          <w:rFonts w:asciiTheme="minorHAnsi" w:hAnsiTheme="minorHAnsi" w:cstheme="minorHAnsi"/>
          <w:lang w:eastAsia="ar-SA"/>
        </w:rPr>
        <w:t>ści Q</w:t>
      </w:r>
      <w:r w:rsidRPr="00964DB2">
        <w:rPr>
          <w:rFonts w:asciiTheme="minorHAnsi" w:hAnsiTheme="minorHAnsi" w:cstheme="minorHAnsi"/>
          <w:vertAlign w:val="subscript"/>
          <w:lang w:eastAsia="ar-SA"/>
        </w:rPr>
        <w:t>3</w:t>
      </w:r>
      <w:r w:rsidRPr="00964DB2">
        <w:rPr>
          <w:rFonts w:asciiTheme="minorHAnsi" w:hAnsiTheme="minorHAnsi" w:cstheme="minorHAnsi"/>
          <w:lang w:eastAsia="ar-SA"/>
        </w:rPr>
        <w:t>: 16 m³/h</w:t>
      </w:r>
    </w:p>
    <w:p w14:paraId="1A573CED" w14:textId="77777777" w:rsidR="00CA71BD" w:rsidRPr="00964DB2" w:rsidRDefault="00CA71BD" w:rsidP="00CA71BD">
      <w:pPr>
        <w:pStyle w:val="Nagwek2"/>
        <w:rPr>
          <w:rFonts w:asciiTheme="minorHAnsi" w:hAnsiTheme="minorHAnsi" w:cstheme="minorHAnsi"/>
        </w:rPr>
      </w:pPr>
      <w:bookmarkStart w:id="16" w:name="_Toc213059269"/>
      <w:bookmarkStart w:id="17" w:name="_Toc215341856"/>
      <w:r w:rsidRPr="00964DB2">
        <w:rPr>
          <w:rFonts w:asciiTheme="minorHAnsi" w:hAnsiTheme="minorHAnsi" w:cstheme="minorHAnsi"/>
        </w:rPr>
        <w:t>Hydranty wewnętrzne</w:t>
      </w:r>
      <w:bookmarkEnd w:id="16"/>
      <w:bookmarkEnd w:id="17"/>
    </w:p>
    <w:p w14:paraId="1FC8FF74" w14:textId="0FE061EA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Hydranty będą umieszczane we wnękach ściennych w szafkach wnękowych/podtynkowych, a także na ścianach budynku w szafkach zawieszanych. Projektuje się hydranty w szafkach zamykanych na klucz i oznakowanych zgodnie z Polską Normą.</w:t>
      </w:r>
    </w:p>
    <w:p w14:paraId="7CFCD72F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Przewiduje się zastosowanie hydrantów wewnętrznych 25 z wężem półsztywnym:</w:t>
      </w:r>
    </w:p>
    <w:p w14:paraId="0AD8224F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 xml:space="preserve">Minimalna wydajność poboru wody mierzona na wylocie prądownicy: 1,0 dm³/s, </w:t>
      </w:r>
    </w:p>
    <w:p w14:paraId="20A8EA79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Wąż półsztywny o długości 30 m,</w:t>
      </w:r>
    </w:p>
    <w:p w14:paraId="0B37D929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Ciśnienie pracy 0,2 - 1,2MPa,</w:t>
      </w:r>
    </w:p>
    <w:p w14:paraId="7892AC05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Średnica nominalna przewodu zasilającego DN32</w:t>
      </w:r>
    </w:p>
    <w:p w14:paraId="2DDE2983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Wyposażony w zwijadło wychylne</w:t>
      </w:r>
    </w:p>
    <w:p w14:paraId="3EEB5D6F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Kolor szafki – RAL3000</w:t>
      </w:r>
    </w:p>
    <w:p w14:paraId="666C32CE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Wszystkie zawory hydrantowe należy instalować na wysokości 1,35±0,1 m od podłogi.</w:t>
      </w:r>
    </w:p>
    <w:p w14:paraId="5FE5ED9D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Hydrant wewnętrzny powinien posiadać certyfikaty zgodności CNBOP. </w:t>
      </w:r>
    </w:p>
    <w:p w14:paraId="12D985A4" w14:textId="77777777" w:rsidR="00CA71BD" w:rsidRPr="00964DB2" w:rsidRDefault="00CA71BD" w:rsidP="00CA71BD">
      <w:pPr>
        <w:pStyle w:val="Nagwek2"/>
        <w:rPr>
          <w:rFonts w:asciiTheme="minorHAnsi" w:hAnsiTheme="minorHAnsi" w:cstheme="minorHAnsi"/>
        </w:rPr>
      </w:pPr>
      <w:bookmarkStart w:id="18" w:name="_Toc213059270"/>
      <w:bookmarkStart w:id="19" w:name="_Ref214383324"/>
      <w:bookmarkStart w:id="20" w:name="_Ref214383332"/>
      <w:bookmarkStart w:id="21" w:name="_Toc215341857"/>
      <w:r w:rsidRPr="00964DB2">
        <w:rPr>
          <w:rFonts w:asciiTheme="minorHAnsi" w:hAnsiTheme="minorHAnsi" w:cstheme="minorHAnsi"/>
        </w:rPr>
        <w:t>Orurowanie oraz montaż</w:t>
      </w:r>
      <w:bookmarkEnd w:id="18"/>
      <w:bookmarkEnd w:id="19"/>
      <w:bookmarkEnd w:id="20"/>
      <w:bookmarkEnd w:id="21"/>
    </w:p>
    <w:p w14:paraId="3DE8A3BE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Projektowana instalacja wodociągowa przeciwpożarowa wykonana zostanie z rur stalowych ocynkowanych wg PN-74/H-74200. Rury stalowe ocynkowane należy łączyć za pomocą gwintowanych, ocynkowanych łączników z żeliwa ciągliwego lub systemowych łączników skręcanych w przypadku zastosowania rur rowkowanych. </w:t>
      </w:r>
    </w:p>
    <w:p w14:paraId="20DE8E96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Całość instalacji wykonać zgodnie z PN-B-02865. </w:t>
      </w:r>
    </w:p>
    <w:p w14:paraId="1510CCD0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Przewody prowadzone pod stropem należy mocować przy pomocy obejm z wkładkami gumowymi, bezpośrednio do stropu lub ścian. Pomiędzy elementy mocujące a przegrody należy stosować przekładki gumowe. Całość mocowania musi zapobiegać przenoszeniu się drgań powstających w wyniku działania instalacji.</w:t>
      </w:r>
    </w:p>
    <w:p w14:paraId="408E0381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lastRenderedPageBreak/>
        <w:t>Przewody prowadzić ze spadkiem 0,1% w kierunku punktów umożliwiających spust wody z instalacji.</w:t>
      </w:r>
    </w:p>
    <w:p w14:paraId="232951B1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Przejście przewodów instalacji przez przegrody budowlane stanowiące oddzielenie ppoż. należy wykonać w odporności ogniowej takiej, jak przegroda, za pomocą masy ogniochronnej.</w:t>
      </w:r>
    </w:p>
    <w:p w14:paraId="032FC760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Cała stosowana armatura musi mieć zapewnioną prawidłową pracę przy ciśnieniu nominalnym 10 bar (PN10 lub lepsze). </w:t>
      </w:r>
    </w:p>
    <w:p w14:paraId="5B0059B5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Zamontowana na instalacji armatura odcinająca powinna zostać zabezpieczona przed przypadkowym zamknięciem. Należy wprowadzić system oznakowania zaworów poprzez opisanie każdego zaworu na tabliczce/kartce zabezpieczonej przed wilgocią przymocowanej do każdego zaworu z tekstem: „Zawór instalacji hydrantowej – nie zamykać” oraz na każdym zaworze odcinającym należy zamontować plomby. </w:t>
      </w:r>
    </w:p>
    <w:p w14:paraId="377E5890" w14:textId="187C20C8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Stosowane hydranty powinny posiadać deklaracje zgodności. Wszystkie zastosowane urządzenia i</w:t>
      </w:r>
      <w:r w:rsidR="00EE01E2">
        <w:rPr>
          <w:rFonts w:cstheme="minorHAnsi"/>
          <w:lang w:eastAsia="ar-SA"/>
        </w:rPr>
        <w:t> </w:t>
      </w:r>
      <w:r w:rsidRPr="00964DB2">
        <w:rPr>
          <w:rFonts w:cstheme="minorHAnsi"/>
          <w:lang w:eastAsia="ar-SA"/>
        </w:rPr>
        <w:t xml:space="preserve">elementy montażowe winny posiadać odpowiednie wymagane przepisami certyfikaty oraz atesty. Instalowanie hydrantów wewnętrznych powinno być zgodne z wymaganiami określonymi w Polskich Normach będących odpowiednikami norm europejskich (EN). </w:t>
      </w:r>
    </w:p>
    <w:p w14:paraId="051854B2" w14:textId="0C26E66A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>Przy wykonywaniu instalacji w technologii danego producenta przewodów, prace prowadzić  zgodnie z</w:t>
      </w:r>
      <w:r w:rsidR="00EE01E2">
        <w:rPr>
          <w:rFonts w:cstheme="minorHAnsi"/>
          <w:lang w:eastAsia="ar-SA"/>
        </w:rPr>
        <w:t> </w:t>
      </w:r>
      <w:r w:rsidRPr="00964DB2">
        <w:rPr>
          <w:rFonts w:cstheme="minorHAnsi"/>
          <w:lang w:eastAsia="ar-SA"/>
        </w:rPr>
        <w:t>wytycznymi producenta.</w:t>
      </w:r>
    </w:p>
    <w:p w14:paraId="1175F5FA" w14:textId="77777777" w:rsidR="00CA71BD" w:rsidRPr="00964DB2" w:rsidRDefault="00CA71BD" w:rsidP="00CA71BD">
      <w:pPr>
        <w:pStyle w:val="Nagwek2"/>
        <w:rPr>
          <w:rFonts w:asciiTheme="minorHAnsi" w:hAnsiTheme="minorHAnsi" w:cstheme="minorHAnsi"/>
        </w:rPr>
      </w:pPr>
      <w:bookmarkStart w:id="22" w:name="_Toc213059271"/>
      <w:bookmarkStart w:id="23" w:name="_Toc215341858"/>
      <w:r w:rsidRPr="00964DB2">
        <w:rPr>
          <w:rFonts w:asciiTheme="minorHAnsi" w:hAnsiTheme="minorHAnsi" w:cstheme="minorHAnsi"/>
        </w:rPr>
        <w:t>Izolacja</w:t>
      </w:r>
      <w:bookmarkEnd w:id="22"/>
      <w:bookmarkEnd w:id="23"/>
    </w:p>
    <w:p w14:paraId="756A2BF8" w14:textId="77777777" w:rsidR="00CA71BD" w:rsidRPr="00964DB2" w:rsidRDefault="00CA71BD" w:rsidP="00CA71BD">
      <w:pPr>
        <w:pStyle w:val="Potabeli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Przewody instalacji hydrantowej prowadzone w obrębie piwnicy należy zaizolować termicznie wełną skalną o grubości 20 mm</w:t>
      </w:r>
    </w:p>
    <w:p w14:paraId="0525B31F" w14:textId="17FA2F32" w:rsidR="00CA71BD" w:rsidRPr="00964DB2" w:rsidRDefault="00CA71BD" w:rsidP="00CA71BD">
      <w:pPr>
        <w:pStyle w:val="Potabeli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Przewody na kondygnacjach nadziemnych prowadzone natynkowo należy wyposażyć w</w:t>
      </w:r>
      <w:r w:rsidR="00964DB2" w:rsidRPr="00964DB2">
        <w:rPr>
          <w:rFonts w:asciiTheme="minorHAnsi" w:hAnsiTheme="minorHAnsi" w:cstheme="minorHAnsi"/>
        </w:rPr>
        <w:t> </w:t>
      </w:r>
      <w:r w:rsidRPr="00964DB2">
        <w:rPr>
          <w:rFonts w:asciiTheme="minorHAnsi" w:hAnsiTheme="minorHAnsi" w:cstheme="minorHAnsi"/>
        </w:rPr>
        <w:t xml:space="preserve">izolację przeciwroszeniową w celu zapobiegnięcia kondensacji pary wodnej na przewodach – otulina z kauczuku syntetycznego o grubości 10 mm. </w:t>
      </w:r>
    </w:p>
    <w:p w14:paraId="125560A4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Należy stosować wyłącznie materiały nierozprzestrzeniające ognia (NRO).</w:t>
      </w:r>
    </w:p>
    <w:p w14:paraId="706925C7" w14:textId="77777777" w:rsidR="00CA71BD" w:rsidRPr="00964DB2" w:rsidRDefault="00CA71BD" w:rsidP="00CA71BD">
      <w:pPr>
        <w:pStyle w:val="Nagwek2"/>
        <w:rPr>
          <w:rFonts w:asciiTheme="minorHAnsi" w:hAnsiTheme="minorHAnsi" w:cstheme="minorHAnsi"/>
          <w:snapToGrid w:val="0"/>
        </w:rPr>
      </w:pPr>
      <w:bookmarkStart w:id="24" w:name="_Toc213059263"/>
      <w:bookmarkStart w:id="25" w:name="_Toc215341859"/>
      <w:r w:rsidRPr="00964DB2">
        <w:rPr>
          <w:rFonts w:asciiTheme="minorHAnsi" w:hAnsiTheme="minorHAnsi" w:cstheme="minorHAnsi"/>
        </w:rPr>
        <w:t>Armatura</w:t>
      </w:r>
      <w:bookmarkEnd w:id="24"/>
      <w:bookmarkEnd w:id="25"/>
    </w:p>
    <w:p w14:paraId="0CDB37F6" w14:textId="77777777" w:rsidR="00CA71BD" w:rsidRPr="00964DB2" w:rsidRDefault="00CA71BD" w:rsidP="00CA71BD">
      <w:pPr>
        <w:pStyle w:val="Nagwek3"/>
        <w:rPr>
          <w:rFonts w:asciiTheme="minorHAnsi" w:hAnsiTheme="minorHAnsi" w:cstheme="minorHAnsi"/>
        </w:rPr>
      </w:pPr>
      <w:bookmarkStart w:id="26" w:name="_Toc215341860"/>
      <w:r w:rsidRPr="00964DB2">
        <w:rPr>
          <w:rFonts w:asciiTheme="minorHAnsi" w:hAnsiTheme="minorHAnsi" w:cstheme="minorHAnsi"/>
        </w:rPr>
        <w:t>Zawory odcinające</w:t>
      </w:r>
      <w:bookmarkEnd w:id="26"/>
    </w:p>
    <w:p w14:paraId="50FE84CD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W celu odcięcia przepływu na przyłączu przewiduje się zastosowanie standardowych gwintowanych zaworów kulowych typu np. V3000 prod. Socla lub równoważnych o następujących parametrach: </w:t>
      </w:r>
    </w:p>
    <w:p w14:paraId="4F397B4C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Typ zaworu: kurek kulowy mosiężny</w:t>
      </w:r>
    </w:p>
    <w:p w14:paraId="6B3BEFBE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Podłączenie: gwintowane</w:t>
      </w:r>
    </w:p>
    <w:p w14:paraId="756943C2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 xml:space="preserve">Zastosowanie: czynniki neutralne </w:t>
      </w:r>
    </w:p>
    <w:p w14:paraId="62594D81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Sterowanie: ręczne,</w:t>
      </w:r>
      <w:r w:rsidRPr="00964DB2">
        <w:rPr>
          <w:rFonts w:asciiTheme="minorHAnsi" w:eastAsia="Arial" w:hAnsiTheme="minorHAnsi" w:cstheme="minorHAnsi"/>
        </w:rPr>
        <w:t xml:space="preserve"> </w:t>
      </w:r>
      <w:r w:rsidRPr="00964DB2">
        <w:rPr>
          <w:rFonts w:asciiTheme="minorHAnsi" w:hAnsiTheme="minorHAnsi" w:cstheme="minorHAnsi"/>
        </w:rPr>
        <w:t>dźwignia</w:t>
      </w:r>
    </w:p>
    <w:p w14:paraId="16FF3A96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 xml:space="preserve">Maksymalne ciśnienie pracy: min. 10 bar </w:t>
      </w:r>
    </w:p>
    <w:p w14:paraId="58775579" w14:textId="5B8C3AA6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 xml:space="preserve">Oznakowane zgodnie z punktem </w:t>
      </w:r>
      <w:r w:rsidRPr="00964DB2">
        <w:rPr>
          <w:rFonts w:asciiTheme="minorHAnsi" w:hAnsiTheme="minorHAnsi" w:cstheme="minorHAnsi"/>
        </w:rPr>
        <w:fldChar w:fldCharType="begin"/>
      </w:r>
      <w:r w:rsidRPr="00964DB2">
        <w:rPr>
          <w:rFonts w:asciiTheme="minorHAnsi" w:hAnsiTheme="minorHAnsi" w:cstheme="minorHAnsi"/>
        </w:rPr>
        <w:instrText xml:space="preserve"> REF _Ref214383324 \r \h  \* MERGEFORMAT </w:instrText>
      </w:r>
      <w:r w:rsidRPr="00964DB2">
        <w:rPr>
          <w:rFonts w:asciiTheme="minorHAnsi" w:hAnsiTheme="minorHAnsi" w:cstheme="minorHAnsi"/>
        </w:rPr>
      </w:r>
      <w:r w:rsidRPr="00964DB2">
        <w:rPr>
          <w:rFonts w:asciiTheme="minorHAnsi" w:hAnsiTheme="minorHAnsi" w:cstheme="minorHAnsi"/>
        </w:rPr>
        <w:fldChar w:fldCharType="separate"/>
      </w:r>
      <w:r w:rsidR="00621313">
        <w:rPr>
          <w:rFonts w:asciiTheme="minorHAnsi" w:hAnsiTheme="minorHAnsi" w:cstheme="minorHAnsi"/>
        </w:rPr>
        <w:t>7.3</w:t>
      </w:r>
      <w:r w:rsidRPr="00964DB2">
        <w:rPr>
          <w:rFonts w:asciiTheme="minorHAnsi" w:hAnsiTheme="minorHAnsi" w:cstheme="minorHAnsi"/>
        </w:rPr>
        <w:fldChar w:fldCharType="end"/>
      </w:r>
      <w:r w:rsidRPr="00964DB2">
        <w:rPr>
          <w:rFonts w:asciiTheme="minorHAnsi" w:hAnsiTheme="minorHAnsi" w:cstheme="minorHAnsi"/>
        </w:rPr>
        <w:t xml:space="preserve"> opisu technicznego</w:t>
      </w:r>
    </w:p>
    <w:p w14:paraId="7516D9A5" w14:textId="77777777" w:rsidR="00CA71BD" w:rsidRPr="00964DB2" w:rsidRDefault="00CA71BD" w:rsidP="00CA71BD">
      <w:pPr>
        <w:pStyle w:val="Nagwek3"/>
        <w:rPr>
          <w:rFonts w:asciiTheme="minorHAnsi" w:hAnsiTheme="minorHAnsi" w:cstheme="minorHAnsi"/>
        </w:rPr>
      </w:pPr>
      <w:bookmarkStart w:id="27" w:name="_Toc215341861"/>
      <w:r w:rsidRPr="00964DB2">
        <w:rPr>
          <w:rFonts w:asciiTheme="minorHAnsi" w:hAnsiTheme="minorHAnsi" w:cstheme="minorHAnsi"/>
        </w:rPr>
        <w:t>Zawory antyskażeniowe</w:t>
      </w:r>
      <w:bookmarkEnd w:id="27"/>
    </w:p>
    <w:p w14:paraId="08A89537" w14:textId="77777777" w:rsidR="00CA71BD" w:rsidRPr="00964DB2" w:rsidRDefault="00CA71BD" w:rsidP="00CA71BD">
      <w:pPr>
        <w:jc w:val="both"/>
        <w:rPr>
          <w:rFonts w:cstheme="minorHAnsi"/>
          <w:lang w:eastAsia="ar-SA"/>
        </w:rPr>
      </w:pPr>
      <w:r w:rsidRPr="00964DB2">
        <w:rPr>
          <w:rFonts w:cstheme="minorHAnsi"/>
          <w:lang w:eastAsia="ar-SA"/>
        </w:rPr>
        <w:t xml:space="preserve">W celu zabezpieczenia przed skażeniem wody przewiduje się zastosowanie standardowych gwintowanych zaworów antyskażeniowych typu np. EA 271 prod. Socla lub równoważnych o następujących parametrach: </w:t>
      </w:r>
    </w:p>
    <w:p w14:paraId="467125A3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Typ zaworu: zwrotny antyskażeniowy typu EA</w:t>
      </w:r>
    </w:p>
    <w:p w14:paraId="7DBDC311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Podłączenie: gwintowane</w:t>
      </w:r>
    </w:p>
    <w:p w14:paraId="73F14FBE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lastRenderedPageBreak/>
        <w:t xml:space="preserve">Zastosowanie: czynniki neutralne </w:t>
      </w:r>
    </w:p>
    <w:p w14:paraId="0B8D33DF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 xml:space="preserve">Maksymalne ciśnienie pracy: min. 10 bar </w:t>
      </w:r>
    </w:p>
    <w:p w14:paraId="430BB1A0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2 otwory kontrolne z zaślepkami</w:t>
      </w:r>
    </w:p>
    <w:p w14:paraId="32AA2922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Praca w dowolnym położeniu</w:t>
      </w:r>
    </w:p>
    <w:p w14:paraId="44F8C74E" w14:textId="77777777" w:rsidR="00CA71BD" w:rsidRPr="00964DB2" w:rsidRDefault="00CA71BD" w:rsidP="00CA71BD">
      <w:pPr>
        <w:pStyle w:val="Nagwek2"/>
        <w:rPr>
          <w:rFonts w:asciiTheme="minorHAnsi" w:hAnsiTheme="minorHAnsi" w:cstheme="minorHAnsi"/>
        </w:rPr>
      </w:pPr>
      <w:bookmarkStart w:id="28" w:name="_Toc213059272"/>
      <w:bookmarkStart w:id="29" w:name="_Toc215341862"/>
      <w:r w:rsidRPr="00964DB2">
        <w:rPr>
          <w:rFonts w:asciiTheme="minorHAnsi" w:hAnsiTheme="minorHAnsi" w:cstheme="minorHAnsi"/>
        </w:rPr>
        <w:t>Próby i odbiory</w:t>
      </w:r>
      <w:bookmarkEnd w:id="28"/>
      <w:bookmarkEnd w:id="29"/>
    </w:p>
    <w:p w14:paraId="1702DFE4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Badanie szczelności instalacji należy przeprowadzić przed zakryciem bruzd i otworów oraz przed zaizolowaniem przewodów. Badanie szczelności należy przeprowadzać wodą. Podczas badania szczelności zabrania się podnoszenia ciśnienia powyżej ciśnienia próby nawet chwilowo.</w:t>
      </w:r>
    </w:p>
    <w:p w14:paraId="6453FE86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Przygotowanie instalacji do próby szczelności:</w:t>
      </w:r>
    </w:p>
    <w:p w14:paraId="05584C93" w14:textId="77777777" w:rsidR="00CA71BD" w:rsidRPr="00964DB2" w:rsidRDefault="00CA71BD" w:rsidP="00CA71BD">
      <w:pPr>
        <w:pStyle w:val="Numeracja"/>
        <w:numPr>
          <w:ilvl w:val="0"/>
          <w:numId w:val="11"/>
        </w:numPr>
        <w:ind w:left="357" w:hanging="357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Przed przystąpieniem do badania szczelności instalacja musi być przepłukana wodą. Czynność płukania należy wykonywać przy dodatniej temperaturze.</w:t>
      </w:r>
    </w:p>
    <w:p w14:paraId="277E5A7A" w14:textId="77777777" w:rsidR="00CA71BD" w:rsidRPr="00964DB2" w:rsidRDefault="00CA71BD" w:rsidP="00CA71BD">
      <w:pPr>
        <w:pStyle w:val="Numeracja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Od instalacji wody ciepłej należy odłączyć wszystkie urządzenia zabezpieczające przed przekroczeniem ciśnienia dopuszczalnego.</w:t>
      </w:r>
    </w:p>
    <w:p w14:paraId="3561C134" w14:textId="77777777" w:rsidR="00CA71BD" w:rsidRPr="00964DB2" w:rsidRDefault="00CA71BD" w:rsidP="00CA71BD">
      <w:pPr>
        <w:pStyle w:val="Numeracja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Po napełnieniu instalacji wodą należy sprawdzić szczelność wszystkich połączeń i kompletność zaślepień, brak roszenia na dławnicach zaworów.</w:t>
      </w:r>
    </w:p>
    <w:p w14:paraId="023DBB4A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Przebieg badania szczelności wodą zimną:</w:t>
      </w:r>
    </w:p>
    <w:p w14:paraId="1546BFBB" w14:textId="77777777" w:rsidR="00CA71BD" w:rsidRPr="00964DB2" w:rsidRDefault="00CA71BD" w:rsidP="00CA71BD">
      <w:pPr>
        <w:pStyle w:val="Numeracja"/>
        <w:numPr>
          <w:ilvl w:val="0"/>
          <w:numId w:val="12"/>
        </w:numPr>
        <w:ind w:left="357" w:hanging="357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Do instalacji w najniższym jej punkcie należy podłączyć pompę ręczną wyposażoną w zbiornik wody, manometr zawory odcinające, zawór zwrotny i spustowy.</w:t>
      </w:r>
    </w:p>
    <w:p w14:paraId="5636251A" w14:textId="77777777" w:rsidR="00CA71BD" w:rsidRPr="00964DB2" w:rsidRDefault="00CA71BD" w:rsidP="00CA71BD">
      <w:pPr>
        <w:pStyle w:val="Numeracja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Manometr powinien mieć średnicę 150mm i zakres tarczy co najmniej 50% większy od ciśnienia próbnego. Działka elementarna powinna wynosić:</w:t>
      </w:r>
    </w:p>
    <w:p w14:paraId="763A41D1" w14:textId="77777777" w:rsidR="00CA71BD" w:rsidRPr="00964DB2" w:rsidRDefault="00CA71BD" w:rsidP="00CA71BD">
      <w:pPr>
        <w:pStyle w:val="Akapitzlist"/>
        <w:numPr>
          <w:ilvl w:val="0"/>
          <w:numId w:val="13"/>
        </w:numPr>
        <w:overflowPunct w:val="0"/>
        <w:autoSpaceDE w:val="0"/>
        <w:autoSpaceDN w:val="0"/>
        <w:adjustRightInd w:val="0"/>
        <w:spacing w:after="0" w:line="300" w:lineRule="atLeast"/>
        <w:contextualSpacing w:val="0"/>
        <w:jc w:val="both"/>
        <w:textAlignment w:val="baseline"/>
        <w:rPr>
          <w:rFonts w:cstheme="minorHAnsi"/>
        </w:rPr>
      </w:pPr>
      <w:r w:rsidRPr="00964DB2">
        <w:rPr>
          <w:rFonts w:cstheme="minorHAnsi"/>
        </w:rPr>
        <w:t>0,1 bar przy ciśnieniu próby do 10 bar,</w:t>
      </w:r>
    </w:p>
    <w:p w14:paraId="33FBD3EE" w14:textId="77777777" w:rsidR="00CA71BD" w:rsidRPr="00964DB2" w:rsidRDefault="00CA71BD" w:rsidP="00CA71BD">
      <w:pPr>
        <w:pStyle w:val="Akapitzlist"/>
        <w:numPr>
          <w:ilvl w:val="0"/>
          <w:numId w:val="13"/>
        </w:numPr>
        <w:overflowPunct w:val="0"/>
        <w:autoSpaceDE w:val="0"/>
        <w:autoSpaceDN w:val="0"/>
        <w:adjustRightInd w:val="0"/>
        <w:spacing w:after="120" w:line="300" w:lineRule="atLeast"/>
        <w:contextualSpacing w:val="0"/>
        <w:jc w:val="both"/>
        <w:textAlignment w:val="baseline"/>
        <w:rPr>
          <w:rFonts w:cstheme="minorHAnsi"/>
        </w:rPr>
      </w:pPr>
      <w:r w:rsidRPr="00964DB2">
        <w:rPr>
          <w:rFonts w:cstheme="minorHAnsi"/>
        </w:rPr>
        <w:t>0,2 bar przy ciśnieniu większym</w:t>
      </w:r>
    </w:p>
    <w:p w14:paraId="5EFE259B" w14:textId="25A5C070" w:rsidR="00CA71BD" w:rsidRPr="00964DB2" w:rsidRDefault="00CA71BD" w:rsidP="00CA71BD">
      <w:pPr>
        <w:pStyle w:val="Numeracja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Badanie szczelności możemy rozpocząć co najmniej po jednej dobie od napełnienia instalacji wodą i</w:t>
      </w:r>
      <w:r w:rsidR="00EE01E2">
        <w:rPr>
          <w:rFonts w:asciiTheme="minorHAnsi" w:hAnsiTheme="minorHAnsi" w:cstheme="minorHAnsi"/>
        </w:rPr>
        <w:t> </w:t>
      </w:r>
      <w:r w:rsidRPr="00964DB2">
        <w:rPr>
          <w:rFonts w:asciiTheme="minorHAnsi" w:hAnsiTheme="minorHAnsi" w:cstheme="minorHAnsi"/>
        </w:rPr>
        <w:t>jej odpowietrzeniu jak też stwierdzeniu braku roszenia.</w:t>
      </w:r>
    </w:p>
    <w:p w14:paraId="56F58479" w14:textId="77777777" w:rsidR="00CA71BD" w:rsidRPr="00964DB2" w:rsidRDefault="00CA71BD" w:rsidP="00CA71BD">
      <w:pPr>
        <w:pStyle w:val="Numeracja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 xml:space="preserve">Po stwierdzeniu gotowości instalacji należy podnieść za pomocą pompy ciśnienie w instalacji do wysokości ciśnienia próby. Wartość ciśnienia próby należy przyjmować w wysokości 1,5x ciśnienia roboczego, ale nie mniej niż 10 bar. </w:t>
      </w:r>
    </w:p>
    <w:p w14:paraId="23E7F5A4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>Po przeprowadzeniu próby należy sporządzić protokół podając ciśnienie próby, fragment badanej instalacji i jej wynik.</w:t>
      </w:r>
    </w:p>
    <w:p w14:paraId="14C76CB2" w14:textId="77777777" w:rsidR="00CA71BD" w:rsidRPr="00964DB2" w:rsidRDefault="00CA71BD" w:rsidP="00CA71BD">
      <w:pPr>
        <w:jc w:val="both"/>
        <w:rPr>
          <w:rFonts w:cstheme="minorHAnsi"/>
        </w:rPr>
      </w:pPr>
      <w:r w:rsidRPr="00964DB2">
        <w:rPr>
          <w:rFonts w:cstheme="minorHAnsi"/>
        </w:rPr>
        <w:t xml:space="preserve">Odbiory instalacji muszą być przeprowadzone w zgodności z normami:  </w:t>
      </w:r>
    </w:p>
    <w:p w14:paraId="41A1B385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hyperlink r:id="rId8" w:history="1">
        <w:r w:rsidRPr="00964DB2">
          <w:rPr>
            <w:rFonts w:asciiTheme="minorHAnsi" w:hAnsiTheme="minorHAnsi" w:cstheme="minorHAnsi"/>
          </w:rPr>
          <w:t>PN-B-02865:1997 </w:t>
        </w:r>
      </w:hyperlink>
      <w:hyperlink r:id="rId9" w:history="1">
        <w:r w:rsidRPr="00964DB2">
          <w:rPr>
            <w:rFonts w:asciiTheme="minorHAnsi" w:hAnsiTheme="minorHAnsi" w:cstheme="minorHAnsi"/>
          </w:rPr>
          <w:t>Ochrona przeciwpożarowa budynków - Przeciwpożarowe zaopatrze</w:t>
        </w:r>
        <w:r w:rsidRPr="00964DB2">
          <w:rPr>
            <w:rFonts w:asciiTheme="minorHAnsi" w:hAnsiTheme="minorHAnsi" w:cstheme="minorHAnsi"/>
          </w:rPr>
          <w:softHyphen/>
          <w:t>nie wodne - Instalacja wodociągowa przeciwpożarowa</w:t>
        </w:r>
      </w:hyperlink>
    </w:p>
    <w:p w14:paraId="7370BA66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PN-EN 1074-6:2009 Armatura wodociągowa – Wymagania użytkowe i badania sprawdzające - Część 6: Hydranty</w:t>
      </w:r>
    </w:p>
    <w:p w14:paraId="46ABC707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eastAsia="Arial" w:hAnsiTheme="minorHAnsi" w:cstheme="minorHAnsi"/>
        </w:rPr>
        <w:t>PN-EN 671</w:t>
      </w:r>
      <w:r w:rsidRPr="00964DB2">
        <w:rPr>
          <w:rFonts w:asciiTheme="minorHAnsi" w:hAnsiTheme="minorHAnsi" w:cstheme="minorHAnsi"/>
        </w:rPr>
        <w:t>-1:2012 Stałe urządzenia gaśnicze -- Hydranty wewnętrzne -- Część 1: Hydranty wewnętrzne z wężem półsztywnym</w:t>
      </w:r>
    </w:p>
    <w:p w14:paraId="46FF27A4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eastAsia="Arial" w:hAnsiTheme="minorHAnsi" w:cstheme="minorHAnsi"/>
        </w:rPr>
        <w:t>PN-EN 671</w:t>
      </w:r>
      <w:r w:rsidRPr="00964DB2">
        <w:rPr>
          <w:rFonts w:asciiTheme="minorHAnsi" w:hAnsiTheme="minorHAnsi" w:cstheme="minorHAnsi"/>
        </w:rPr>
        <w:t>-2:2012</w:t>
      </w:r>
      <w:r w:rsidRPr="00964DB2">
        <w:rPr>
          <w:rFonts w:asciiTheme="minorHAnsi" w:eastAsia="Arial" w:hAnsiTheme="minorHAnsi" w:cstheme="minorHAnsi"/>
        </w:rPr>
        <w:t xml:space="preserve"> </w:t>
      </w:r>
      <w:r w:rsidRPr="00964DB2">
        <w:rPr>
          <w:rFonts w:asciiTheme="minorHAnsi" w:hAnsiTheme="minorHAnsi" w:cstheme="minorHAnsi"/>
        </w:rPr>
        <w:t>Stałe urządzenia gaśnicze -- Hydranty wewnętrzne -- Część 2: Hydranty wewnętrzne z wężem płasko składanym</w:t>
      </w:r>
    </w:p>
    <w:p w14:paraId="45A09F16" w14:textId="77777777" w:rsidR="00CA71BD" w:rsidRPr="00964DB2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eastAsia="Arial" w:hAnsiTheme="minorHAnsi" w:cstheme="minorHAnsi"/>
        </w:rPr>
        <w:lastRenderedPageBreak/>
        <w:t>PN-EN 671</w:t>
      </w:r>
      <w:r w:rsidRPr="00964DB2">
        <w:rPr>
          <w:rFonts w:asciiTheme="minorHAnsi" w:hAnsiTheme="minorHAnsi" w:cstheme="minorHAnsi"/>
        </w:rPr>
        <w:t>-3:2009</w:t>
      </w:r>
      <w:r w:rsidRPr="00964DB2">
        <w:rPr>
          <w:rFonts w:asciiTheme="minorHAnsi" w:eastAsia="Arial" w:hAnsiTheme="minorHAnsi" w:cstheme="minorHAnsi"/>
        </w:rPr>
        <w:t xml:space="preserve"> </w:t>
      </w:r>
      <w:r w:rsidRPr="00964DB2">
        <w:rPr>
          <w:rFonts w:asciiTheme="minorHAnsi" w:hAnsiTheme="minorHAnsi" w:cstheme="minorHAnsi"/>
        </w:rPr>
        <w:t>Stałe urządzenia gaśnicze -- Hydranty wewnętrzne -- Część 3: Konserwacja hydrantów wewnętrznych z wężem półsztywnym i hydrantów wewnętrznych z wężem płasko składanym</w:t>
      </w:r>
    </w:p>
    <w:p w14:paraId="3E03E709" w14:textId="49F8E834" w:rsidR="00CA71BD" w:rsidRDefault="00CA71BD" w:rsidP="00CA71BD">
      <w:pPr>
        <w:pStyle w:val="Punkty"/>
        <w:rPr>
          <w:rFonts w:asciiTheme="minorHAnsi" w:hAnsiTheme="minorHAnsi" w:cstheme="minorHAnsi"/>
        </w:rPr>
      </w:pPr>
      <w:r w:rsidRPr="00964DB2">
        <w:rPr>
          <w:rFonts w:asciiTheme="minorHAnsi" w:hAnsiTheme="minorHAnsi" w:cstheme="minorHAnsi"/>
        </w:rPr>
        <w:t>Warunki techniczne wykonania i odbioru Instalacji Wodociągowych. Zeszyt 7 Wymagania techniczne COBRTI INSTAL</w:t>
      </w:r>
      <w:r w:rsidR="00964DB2">
        <w:rPr>
          <w:rFonts w:asciiTheme="minorHAnsi" w:hAnsiTheme="minorHAnsi" w:cstheme="minorHAnsi"/>
        </w:rPr>
        <w:t>.</w:t>
      </w:r>
    </w:p>
    <w:p w14:paraId="29C2A82A" w14:textId="77777777" w:rsidR="00964DB2" w:rsidRPr="001E49F7" w:rsidRDefault="00964DB2" w:rsidP="00964DB2">
      <w:pPr>
        <w:pStyle w:val="Punkty"/>
        <w:numPr>
          <w:ilvl w:val="0"/>
          <w:numId w:val="0"/>
        </w:numPr>
        <w:rPr>
          <w:rFonts w:asciiTheme="minorHAnsi" w:hAnsiTheme="minorHAnsi" w:cstheme="minorHAnsi"/>
          <w:b/>
          <w:bCs/>
        </w:rPr>
      </w:pPr>
      <w:r w:rsidRPr="001E49F7">
        <w:rPr>
          <w:rFonts w:asciiTheme="minorHAnsi" w:hAnsiTheme="minorHAnsi" w:cstheme="minorHAnsi"/>
          <w:b/>
          <w:bCs/>
        </w:rPr>
        <w:t xml:space="preserve">Zamawiający przed złożeniem oferty zaleca wykonanie wizji lokalnej, po wcześniejszym uzgodnieniu terminu z osobą odpowiedzialną za realizację zamówienia - tel. </w:t>
      </w:r>
      <w:r w:rsidRPr="001E49F7">
        <w:rPr>
          <w:rFonts w:asciiTheme="minorHAnsi" w:hAnsiTheme="minorHAnsi" w:cstheme="minorHAnsi"/>
          <w:b/>
          <w:bCs/>
          <w:u w:val="single"/>
        </w:rPr>
        <w:t>664 425 635</w:t>
      </w:r>
      <w:r w:rsidRPr="001E49F7">
        <w:rPr>
          <w:rFonts w:asciiTheme="minorHAnsi" w:hAnsiTheme="minorHAnsi" w:cstheme="minorHAnsi"/>
          <w:b/>
          <w:bCs/>
        </w:rPr>
        <w:t>.</w:t>
      </w:r>
    </w:p>
    <w:p w14:paraId="715D779D" w14:textId="77777777" w:rsidR="00964DB2" w:rsidRPr="00964DB2" w:rsidRDefault="00964DB2" w:rsidP="00964DB2">
      <w:pPr>
        <w:pStyle w:val="Punkty"/>
        <w:numPr>
          <w:ilvl w:val="0"/>
          <w:numId w:val="0"/>
        </w:numPr>
        <w:ind w:left="357"/>
        <w:rPr>
          <w:rFonts w:asciiTheme="minorHAnsi" w:hAnsiTheme="minorHAnsi" w:cstheme="minorHAnsi"/>
        </w:rPr>
      </w:pPr>
    </w:p>
    <w:p w14:paraId="054106B4" w14:textId="5D8CA9C3" w:rsidR="00CA71BD" w:rsidRPr="00964DB2" w:rsidRDefault="00CA71BD" w:rsidP="00CA71BD">
      <w:pPr>
        <w:jc w:val="both"/>
        <w:rPr>
          <w:rFonts w:cstheme="minorHAnsi"/>
          <w:sz w:val="24"/>
          <w:szCs w:val="24"/>
        </w:rPr>
      </w:pPr>
    </w:p>
    <w:sectPr w:rsidR="00CA71BD" w:rsidRPr="00964DB2" w:rsidSect="00964DB2">
      <w:footerReference w:type="default" r:id="rId10"/>
      <w:headerReference w:type="first" r:id="rId11"/>
      <w:footerReference w:type="first" r:id="rId12"/>
      <w:pgSz w:w="11906" w:h="16838"/>
      <w:pgMar w:top="1418" w:right="1134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1DEC44" w14:textId="77777777" w:rsidR="008153C7" w:rsidRDefault="008153C7" w:rsidP="00251135">
      <w:pPr>
        <w:spacing w:after="0" w:line="240" w:lineRule="auto"/>
      </w:pPr>
      <w:r>
        <w:separator/>
      </w:r>
    </w:p>
  </w:endnote>
  <w:endnote w:type="continuationSeparator" w:id="0">
    <w:p w14:paraId="61A554F1" w14:textId="77777777" w:rsidR="008153C7" w:rsidRDefault="008153C7" w:rsidP="002511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16183489"/>
      <w:docPartObj>
        <w:docPartGallery w:val="Page Numbers (Bottom of Page)"/>
        <w:docPartUnique/>
      </w:docPartObj>
    </w:sdtPr>
    <w:sdtContent>
      <w:p w14:paraId="65CE856E" w14:textId="5C5C3768" w:rsidR="00EE01E2" w:rsidRDefault="00EE01E2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5E3F8DA" w14:textId="77777777" w:rsidR="00EE01E2" w:rsidRDefault="00EE01E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71118368"/>
      <w:docPartObj>
        <w:docPartGallery w:val="Page Numbers (Bottom of Page)"/>
        <w:docPartUnique/>
      </w:docPartObj>
    </w:sdtPr>
    <w:sdtContent>
      <w:p w14:paraId="38F796C4" w14:textId="51AAF0B8" w:rsidR="00EE01E2" w:rsidRDefault="00EE01E2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2C5778F" w14:textId="77777777" w:rsidR="00EE01E2" w:rsidRDefault="00EE01E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FFB2A3" w14:textId="77777777" w:rsidR="008153C7" w:rsidRDefault="008153C7" w:rsidP="00251135">
      <w:pPr>
        <w:spacing w:after="0" w:line="240" w:lineRule="auto"/>
      </w:pPr>
      <w:r>
        <w:separator/>
      </w:r>
    </w:p>
  </w:footnote>
  <w:footnote w:type="continuationSeparator" w:id="0">
    <w:p w14:paraId="2FB79C15" w14:textId="77777777" w:rsidR="008153C7" w:rsidRDefault="008153C7" w:rsidP="00251135">
      <w:pPr>
        <w:spacing w:after="0" w:line="240" w:lineRule="auto"/>
      </w:pPr>
      <w:r>
        <w:continuationSeparator/>
      </w:r>
    </w:p>
  </w:footnote>
  <w:footnote w:id="1">
    <w:p w14:paraId="48FB193A" w14:textId="77777777" w:rsidR="00964DB2" w:rsidRDefault="00964DB2" w:rsidP="00964DB2">
      <w:pPr>
        <w:pStyle w:val="Tekstprzypisudolnego"/>
      </w:pPr>
      <w:r>
        <w:rPr>
          <w:rStyle w:val="Odwoanieprzypisudolnego"/>
        </w:rPr>
        <w:footnoteRef/>
      </w:r>
      <w:r>
        <w:t xml:space="preserve"> Termin realizacji zamówienia stanowi kryterium oceny ofert i będzie ustalony przez Wykonawcę, który złoży najkorzystniejszą ofertę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9C7030" w14:textId="77777777" w:rsidR="00EE5FEB" w:rsidRPr="00EE5FEB" w:rsidRDefault="00EE5FEB" w:rsidP="00EE5FEB">
    <w:pPr>
      <w:widowControl w:val="0"/>
      <w:spacing w:after="0" w:line="252" w:lineRule="exact"/>
      <w:jc w:val="center"/>
      <w:rPr>
        <w:rFonts w:ascii="Times New Roman" w:eastAsia="Times New Roman" w:hAnsi="Times New Roman" w:cs="Times New Roman"/>
        <w:b/>
        <w:bCs/>
        <w:spacing w:val="-2"/>
        <w:sz w:val="20"/>
        <w:szCs w:val="20"/>
      </w:rPr>
    </w:pPr>
    <w:r w:rsidRPr="00EE5FEB">
      <w:rPr>
        <w:rFonts w:ascii="Arial" w:eastAsia="Times New Roman" w:hAnsi="Arial" w:cs="Arial"/>
        <w:b/>
        <w:bCs/>
        <w:noProof/>
        <w:spacing w:val="-2"/>
        <w:sz w:val="24"/>
        <w:lang w:eastAsia="pl-PL"/>
      </w:rPr>
      <w:drawing>
        <wp:anchor distT="0" distB="0" distL="114300" distR="114300" simplePos="0" relativeHeight="251659264" behindDoc="0" locked="0" layoutInCell="1" allowOverlap="1" wp14:anchorId="34733852" wp14:editId="434474CF">
          <wp:simplePos x="0" y="0"/>
          <wp:positionH relativeFrom="column">
            <wp:posOffset>-837738</wp:posOffset>
          </wp:positionH>
          <wp:positionV relativeFrom="paragraph">
            <wp:posOffset>-35864</wp:posOffset>
          </wp:positionV>
          <wp:extent cx="1158447" cy="1046074"/>
          <wp:effectExtent l="0" t="0" r="0" b="1905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8447" cy="10460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E5FEB">
      <w:rPr>
        <w:rFonts w:ascii="Times New Roman" w:eastAsia="Times New Roman" w:hAnsi="Times New Roman" w:cs="Times New Roman"/>
        <w:b/>
        <w:bCs/>
        <w:spacing w:val="-2"/>
      </w:rPr>
      <w:t>SPECJALISTYCZNA PRZYCHODNIA LEKARSKA DLA PRACOWNIKÓW WOJSKA</w:t>
    </w:r>
  </w:p>
  <w:p w14:paraId="3C88DD72" w14:textId="77777777" w:rsidR="00EE5FEB" w:rsidRPr="00EE5FEB" w:rsidRDefault="00EE5FEB" w:rsidP="00EE5FEB">
    <w:pPr>
      <w:widowControl w:val="0"/>
      <w:spacing w:after="0"/>
      <w:jc w:val="center"/>
      <w:rPr>
        <w:rFonts w:ascii="Times New Roman" w:eastAsia="Times New Roman" w:hAnsi="Times New Roman" w:cs="Times New Roman"/>
        <w:b/>
        <w:bCs/>
        <w:color w:val="000000"/>
        <w:spacing w:val="-2"/>
        <w:lang w:eastAsia="pl-PL"/>
      </w:rPr>
    </w:pPr>
    <w:r w:rsidRPr="00EE5FEB">
      <w:rPr>
        <w:rFonts w:ascii="Times New Roman" w:eastAsia="Times New Roman" w:hAnsi="Times New Roman" w:cs="Times New Roman"/>
        <w:noProof/>
        <w:color w:val="000000"/>
        <w:spacing w:val="-1"/>
        <w:lang w:eastAsia="pl-PL"/>
      </w:rPr>
      <w:drawing>
        <wp:anchor distT="0" distB="0" distL="114300" distR="114300" simplePos="0" relativeHeight="251660288" behindDoc="0" locked="0" layoutInCell="1" allowOverlap="1" wp14:anchorId="34420CEE" wp14:editId="64F6D73B">
          <wp:simplePos x="0" y="0"/>
          <wp:positionH relativeFrom="column">
            <wp:posOffset>277661</wp:posOffset>
          </wp:positionH>
          <wp:positionV relativeFrom="paragraph">
            <wp:posOffset>185172</wp:posOffset>
          </wp:positionV>
          <wp:extent cx="742950" cy="742950"/>
          <wp:effectExtent l="0" t="0" r="0" b="0"/>
          <wp:wrapThrough wrapText="bothSides">
            <wp:wrapPolygon edited="0">
              <wp:start x="8308" y="0"/>
              <wp:lineTo x="4431" y="4431"/>
              <wp:lineTo x="2769" y="7200"/>
              <wp:lineTo x="0" y="18831"/>
              <wp:lineTo x="0" y="20492"/>
              <wp:lineTo x="19938" y="20492"/>
              <wp:lineTo x="20492" y="11631"/>
              <wp:lineTo x="16615" y="9969"/>
              <wp:lineTo x="17723" y="7754"/>
              <wp:lineTo x="16062" y="4985"/>
              <wp:lineTo x="11631" y="0"/>
              <wp:lineTo x="8308" y="0"/>
            </wp:wrapPolygon>
          </wp:wrapThrough>
          <wp:docPr id="2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E5FEB">
      <w:rPr>
        <w:rFonts w:ascii="Times New Roman" w:eastAsia="Times New Roman" w:hAnsi="Times New Roman" w:cs="Times New Roman"/>
        <w:noProof/>
        <w:color w:val="000000"/>
        <w:spacing w:val="-1"/>
        <w:lang w:eastAsia="pl-PL"/>
      </w:rPr>
      <w:drawing>
        <wp:anchor distT="0" distB="0" distL="114300" distR="114300" simplePos="0" relativeHeight="251661312" behindDoc="1" locked="0" layoutInCell="1" allowOverlap="1" wp14:anchorId="6CABEB4A" wp14:editId="1A6E7590">
          <wp:simplePos x="0" y="0"/>
          <wp:positionH relativeFrom="column">
            <wp:posOffset>4856480</wp:posOffset>
          </wp:positionH>
          <wp:positionV relativeFrom="paragraph">
            <wp:posOffset>150495</wp:posOffset>
          </wp:positionV>
          <wp:extent cx="1537970" cy="665480"/>
          <wp:effectExtent l="0" t="0" r="5080" b="1270"/>
          <wp:wrapTight wrapText="bothSides">
            <wp:wrapPolygon edited="0">
              <wp:start x="0" y="0"/>
              <wp:lineTo x="0" y="12985"/>
              <wp:lineTo x="4281" y="19786"/>
              <wp:lineTo x="4281" y="20405"/>
              <wp:lineTo x="8562" y="21023"/>
              <wp:lineTo x="19263" y="21023"/>
              <wp:lineTo x="19263" y="19786"/>
              <wp:lineTo x="21404" y="16076"/>
              <wp:lineTo x="21404" y="618"/>
              <wp:lineTo x="3746" y="0"/>
              <wp:lineTo x="0" y="0"/>
            </wp:wrapPolygon>
          </wp:wrapTight>
          <wp:docPr id="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7970" cy="6654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E5FEB">
      <w:rPr>
        <w:rFonts w:ascii="Times New Roman" w:eastAsia="Times New Roman" w:hAnsi="Times New Roman" w:cs="Times New Roman"/>
        <w:b/>
        <w:bCs/>
        <w:color w:val="000000"/>
        <w:spacing w:val="-2"/>
        <w:lang w:eastAsia="pl-PL"/>
      </w:rPr>
      <w:t>Samodzielny Publiczny Zakład Opieki Zdrowotnej w Warszawie</w:t>
    </w:r>
  </w:p>
  <w:p w14:paraId="69A42991" w14:textId="77777777" w:rsidR="00EE5FEB" w:rsidRPr="00EE5FEB" w:rsidRDefault="00EE5FEB" w:rsidP="00EE5FEB">
    <w:pPr>
      <w:spacing w:after="0"/>
      <w:jc w:val="center"/>
      <w:rPr>
        <w:rFonts w:ascii="Times New Roman" w:eastAsia="Calibri" w:hAnsi="Times New Roman" w:cs="Times New Roman"/>
        <w:lang w:eastAsia="pl-PL"/>
      </w:rPr>
    </w:pPr>
    <w:r w:rsidRPr="00EE5FEB">
      <w:rPr>
        <w:rFonts w:ascii="Times New Roman" w:eastAsia="Calibri" w:hAnsi="Times New Roman" w:cs="Times New Roman"/>
        <w:lang w:eastAsia="pl-PL"/>
      </w:rPr>
      <w:t>ul. Nowowiejska 31, 00-911 Warszawa</w:t>
    </w:r>
  </w:p>
  <w:p w14:paraId="59DB80A2" w14:textId="77777777" w:rsidR="00EE5FEB" w:rsidRPr="00EE5FEB" w:rsidRDefault="00EE5FEB" w:rsidP="00EE5FEB">
    <w:pPr>
      <w:widowControl w:val="0"/>
      <w:spacing w:after="0" w:line="180" w:lineRule="exact"/>
      <w:ind w:left="708" w:firstLine="708"/>
      <w:rPr>
        <w:rFonts w:ascii="Times New Roman" w:eastAsia="Times New Roman" w:hAnsi="Times New Roman" w:cs="Times New Roman"/>
        <w:i/>
        <w:iCs/>
        <w:color w:val="000000"/>
        <w:spacing w:val="-1"/>
        <w:sz w:val="18"/>
        <w:szCs w:val="18"/>
        <w:lang w:eastAsia="pl-PL"/>
      </w:rPr>
    </w:pPr>
    <w:r w:rsidRPr="00EE5FEB">
      <w:rPr>
        <w:rFonts w:ascii="Times New Roman" w:eastAsia="Times New Roman" w:hAnsi="Times New Roman" w:cs="Times New Roman"/>
        <w:noProof/>
        <w:color w:val="000000"/>
        <w:spacing w:val="-1"/>
        <w:lang w:eastAsia="pl-PL"/>
      </w:rPr>
      <w:drawing>
        <wp:inline distT="0" distB="0" distL="0" distR="0" wp14:anchorId="1AA0DC92" wp14:editId="283A9CEA">
          <wp:extent cx="5762625" cy="5762625"/>
          <wp:effectExtent l="0" t="0" r="0" b="0"/>
          <wp:docPr id="4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762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EE5FEB">
      <w:rPr>
        <w:rFonts w:ascii="Times New Roman" w:eastAsia="Times New Roman" w:hAnsi="Times New Roman" w:cs="Times New Roman"/>
        <w:i/>
        <w:iCs/>
        <w:color w:val="000000"/>
        <w:spacing w:val="-1"/>
        <w:sz w:val="18"/>
        <w:szCs w:val="18"/>
        <w:lang w:eastAsia="pl-PL"/>
      </w:rPr>
      <w:t xml:space="preserve">                        REGON 013280825; NIP 526-22-66-523; tel.: 22 526 42 17; fax: 261 874 170</w:t>
    </w:r>
  </w:p>
  <w:p w14:paraId="54E2A257" w14:textId="77777777" w:rsidR="00EE5FEB" w:rsidRPr="00EE5FEB" w:rsidRDefault="00EE5FEB" w:rsidP="00EE5FEB">
    <w:pPr>
      <w:widowControl w:val="0"/>
      <w:spacing w:after="0" w:line="220" w:lineRule="exact"/>
      <w:jc w:val="center"/>
      <w:rPr>
        <w:rFonts w:ascii="Times New Roman" w:eastAsia="Times New Roman" w:hAnsi="Times New Roman" w:cs="Times New Roman"/>
        <w:color w:val="000000"/>
        <w:spacing w:val="-1"/>
        <w:lang w:eastAsia="pl-PL"/>
      </w:rPr>
    </w:pPr>
  </w:p>
  <w:p w14:paraId="157AB521" w14:textId="77777777" w:rsidR="00251135" w:rsidRDefault="0025113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8E70E068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Nagwek2"/>
      <w:lvlText w:val="%1.%2"/>
      <w:lvlJc w:val="left"/>
      <w:pPr>
        <w:ind w:left="2136" w:hanging="576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sz w:val="24"/>
        <w:szCs w:val="24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3144" w:hanging="1584"/>
      </w:pPr>
    </w:lvl>
  </w:abstractNum>
  <w:abstractNum w:abstractNumId="1" w15:restartNumberingAfterBreak="0">
    <w:nsid w:val="0680145D"/>
    <w:multiLevelType w:val="hybridMultilevel"/>
    <w:tmpl w:val="F3F46C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B53BCE"/>
    <w:multiLevelType w:val="hybridMultilevel"/>
    <w:tmpl w:val="285220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E6628C6"/>
    <w:multiLevelType w:val="hybridMultilevel"/>
    <w:tmpl w:val="40705FEE"/>
    <w:lvl w:ilvl="0" w:tplc="80A845CE">
      <w:start w:val="2"/>
      <w:numFmt w:val="bullet"/>
      <w:lvlText w:val="•"/>
      <w:lvlJc w:val="left"/>
      <w:pPr>
        <w:ind w:left="720" w:hanging="360"/>
      </w:pPr>
      <w:rPr>
        <w:rFonts w:ascii="Calibri" w:eastAsiaTheme="minorHAnsi" w:hAnsi="Calibri" w:cs="Calibri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EE5B38"/>
    <w:multiLevelType w:val="hybridMultilevel"/>
    <w:tmpl w:val="02CEDC0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AE3558"/>
    <w:multiLevelType w:val="hybridMultilevel"/>
    <w:tmpl w:val="2D7E82AA"/>
    <w:lvl w:ilvl="0" w:tplc="4EE286E2">
      <w:start w:val="1"/>
      <w:numFmt w:val="bullet"/>
      <w:pStyle w:val="Punkt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B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7A064DE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57732807"/>
    <w:multiLevelType w:val="hybridMultilevel"/>
    <w:tmpl w:val="9C6A2860"/>
    <w:lvl w:ilvl="0" w:tplc="AD9E02B8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5F3D6EC9"/>
    <w:multiLevelType w:val="hybridMultilevel"/>
    <w:tmpl w:val="0D2EFFD2"/>
    <w:lvl w:ilvl="0" w:tplc="CFE07FA4">
      <w:start w:val="1"/>
      <w:numFmt w:val="decimal"/>
      <w:pStyle w:val="Numeracja"/>
      <w:lvlText w:val="%1."/>
      <w:lvlJc w:val="left"/>
      <w:pPr>
        <w:ind w:left="502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628026A4"/>
    <w:multiLevelType w:val="hybridMultilevel"/>
    <w:tmpl w:val="19A29E9C"/>
    <w:lvl w:ilvl="0" w:tplc="A59E14DE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64F14466"/>
    <w:multiLevelType w:val="hybridMultilevel"/>
    <w:tmpl w:val="72767F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AC42C9F"/>
    <w:multiLevelType w:val="hybridMultilevel"/>
    <w:tmpl w:val="E536DFBA"/>
    <w:lvl w:ilvl="0" w:tplc="E2102FB4">
      <w:start w:val="1"/>
      <w:numFmt w:val="decimal"/>
      <w:lvlText w:val="%1)"/>
      <w:lvlJc w:val="left"/>
      <w:pPr>
        <w:ind w:left="786" w:hanging="360"/>
      </w:pPr>
      <w:rPr>
        <w:rFonts w:ascii="Calibri" w:eastAsia="Arial Narrow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num w:numId="1" w16cid:durableId="1504393567">
    <w:abstractNumId w:val="8"/>
  </w:num>
  <w:num w:numId="2" w16cid:durableId="2034066190">
    <w:abstractNumId w:val="6"/>
  </w:num>
  <w:num w:numId="3" w16cid:durableId="2029332789">
    <w:abstractNumId w:val="1"/>
  </w:num>
  <w:num w:numId="4" w16cid:durableId="1361931674">
    <w:abstractNumId w:val="2"/>
  </w:num>
  <w:num w:numId="5" w16cid:durableId="1224557574">
    <w:abstractNumId w:val="3"/>
  </w:num>
  <w:num w:numId="6" w16cid:durableId="135974377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641886310">
    <w:abstractNumId w:val="10"/>
  </w:num>
  <w:num w:numId="8" w16cid:durableId="313608541">
    <w:abstractNumId w:val="0"/>
  </w:num>
  <w:num w:numId="9" w16cid:durableId="1926258114">
    <w:abstractNumId w:val="5"/>
  </w:num>
  <w:num w:numId="10" w16cid:durableId="608468666">
    <w:abstractNumId w:val="7"/>
  </w:num>
  <w:num w:numId="11" w16cid:durableId="1525172186">
    <w:abstractNumId w:val="7"/>
    <w:lvlOverride w:ilvl="0">
      <w:startOverride w:val="1"/>
    </w:lvlOverride>
  </w:num>
  <w:num w:numId="12" w16cid:durableId="1916621429">
    <w:abstractNumId w:val="7"/>
    <w:lvlOverride w:ilvl="0">
      <w:startOverride w:val="1"/>
    </w:lvlOverride>
  </w:num>
  <w:num w:numId="13" w16cid:durableId="1286961613">
    <w:abstractNumId w:val="4"/>
  </w:num>
  <w:num w:numId="14" w16cid:durableId="1633441749">
    <w:abstractNumId w:val="0"/>
  </w:num>
  <w:num w:numId="15" w16cid:durableId="1707441649">
    <w:abstractNumId w:val="0"/>
  </w:num>
  <w:num w:numId="16" w16cid:durableId="6269321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1135"/>
    <w:rsid w:val="00007734"/>
    <w:rsid w:val="000172BE"/>
    <w:rsid w:val="000258F0"/>
    <w:rsid w:val="00053FEE"/>
    <w:rsid w:val="000A7D00"/>
    <w:rsid w:val="000E330F"/>
    <w:rsid w:val="00121CDA"/>
    <w:rsid w:val="00176D8E"/>
    <w:rsid w:val="00192E72"/>
    <w:rsid w:val="001B1A5A"/>
    <w:rsid w:val="001E49F7"/>
    <w:rsid w:val="001F257D"/>
    <w:rsid w:val="00212971"/>
    <w:rsid w:val="00251135"/>
    <w:rsid w:val="00295BFD"/>
    <w:rsid w:val="002D7869"/>
    <w:rsid w:val="002D799D"/>
    <w:rsid w:val="00320FE8"/>
    <w:rsid w:val="003A6631"/>
    <w:rsid w:val="003A6841"/>
    <w:rsid w:val="00467F13"/>
    <w:rsid w:val="004954C1"/>
    <w:rsid w:val="004D5F88"/>
    <w:rsid w:val="0050562A"/>
    <w:rsid w:val="00516980"/>
    <w:rsid w:val="0052402E"/>
    <w:rsid w:val="00543C7E"/>
    <w:rsid w:val="00615CE7"/>
    <w:rsid w:val="00621313"/>
    <w:rsid w:val="00651D2C"/>
    <w:rsid w:val="00662053"/>
    <w:rsid w:val="006903C2"/>
    <w:rsid w:val="006A0BDA"/>
    <w:rsid w:val="006C2346"/>
    <w:rsid w:val="006C2F20"/>
    <w:rsid w:val="006D5F2B"/>
    <w:rsid w:val="006F1EE1"/>
    <w:rsid w:val="00710359"/>
    <w:rsid w:val="00716FFC"/>
    <w:rsid w:val="007533B1"/>
    <w:rsid w:val="007B6984"/>
    <w:rsid w:val="008153C7"/>
    <w:rsid w:val="00821651"/>
    <w:rsid w:val="00876D19"/>
    <w:rsid w:val="00897D85"/>
    <w:rsid w:val="008D1474"/>
    <w:rsid w:val="008D54CC"/>
    <w:rsid w:val="008D6EAE"/>
    <w:rsid w:val="00964DB2"/>
    <w:rsid w:val="00966E92"/>
    <w:rsid w:val="00986BC3"/>
    <w:rsid w:val="009C3F5C"/>
    <w:rsid w:val="009C7414"/>
    <w:rsid w:val="009E28F3"/>
    <w:rsid w:val="009F64C4"/>
    <w:rsid w:val="00A40C8B"/>
    <w:rsid w:val="00AA29BC"/>
    <w:rsid w:val="00AB2B4F"/>
    <w:rsid w:val="00AC5FA9"/>
    <w:rsid w:val="00B13F3D"/>
    <w:rsid w:val="00B20D25"/>
    <w:rsid w:val="00B21826"/>
    <w:rsid w:val="00B3381F"/>
    <w:rsid w:val="00B94A50"/>
    <w:rsid w:val="00BA2E76"/>
    <w:rsid w:val="00BA3EB3"/>
    <w:rsid w:val="00BA7577"/>
    <w:rsid w:val="00BB62CD"/>
    <w:rsid w:val="00BD6189"/>
    <w:rsid w:val="00BE64B9"/>
    <w:rsid w:val="00BF14F1"/>
    <w:rsid w:val="00BF4552"/>
    <w:rsid w:val="00C323FF"/>
    <w:rsid w:val="00C71225"/>
    <w:rsid w:val="00C72647"/>
    <w:rsid w:val="00C81DFF"/>
    <w:rsid w:val="00C82346"/>
    <w:rsid w:val="00C97AB6"/>
    <w:rsid w:val="00CA71BD"/>
    <w:rsid w:val="00CB2C5E"/>
    <w:rsid w:val="00CF0224"/>
    <w:rsid w:val="00D30810"/>
    <w:rsid w:val="00D44E8A"/>
    <w:rsid w:val="00D64216"/>
    <w:rsid w:val="00D83208"/>
    <w:rsid w:val="00D9671E"/>
    <w:rsid w:val="00DE5F5A"/>
    <w:rsid w:val="00E23293"/>
    <w:rsid w:val="00EA00CF"/>
    <w:rsid w:val="00EA40F0"/>
    <w:rsid w:val="00EB286B"/>
    <w:rsid w:val="00EE01E2"/>
    <w:rsid w:val="00EE5FEB"/>
    <w:rsid w:val="00F105B6"/>
    <w:rsid w:val="00F408BF"/>
    <w:rsid w:val="00F658A4"/>
    <w:rsid w:val="00F7372D"/>
    <w:rsid w:val="00FE2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3F15AC"/>
  <w15:docId w15:val="{0711A949-8A2D-4D83-B5EC-B65B29E82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97D85"/>
  </w:style>
  <w:style w:type="paragraph" w:styleId="Nagwek1">
    <w:name w:val="heading 1"/>
    <w:aliases w:val="Nagłówek 1F,Level 1,Level 11,Level 12,Level 13,Level 14,Level 15,Level 111,Level 121,Level 131,Level 141,Level 16,Level 17,Level 18,Level 19,Level 112,Level 122,Level 132,Level 142,Level 151,Level 1111,Level 1211,Level 1311,Level 1411"/>
    <w:basedOn w:val="Normalny"/>
    <w:next w:val="Normalny"/>
    <w:link w:val="Nagwek1Znak"/>
    <w:qFormat/>
    <w:rsid w:val="00CA71BD"/>
    <w:pPr>
      <w:keepNext/>
      <w:numPr>
        <w:numId w:val="8"/>
      </w:numPr>
      <w:suppressAutoHyphens/>
      <w:spacing w:before="240" w:after="240" w:line="23" w:lineRule="atLeast"/>
      <w:contextualSpacing/>
      <w:jc w:val="both"/>
      <w:outlineLvl w:val="0"/>
    </w:pPr>
    <w:rPr>
      <w:rFonts w:ascii="Arial" w:eastAsia="Times New Roman" w:hAnsi="Arial" w:cs="Arial"/>
      <w:b/>
      <w:sz w:val="28"/>
      <w:szCs w:val="20"/>
      <w:lang w:eastAsia="ar-SA"/>
    </w:rPr>
  </w:style>
  <w:style w:type="paragraph" w:styleId="Nagwek2">
    <w:name w:val="heading 2"/>
    <w:aliases w:val="Nagłowek 2,adpis 2,Gliederung2,Level 2,Level 21,Level 22,Level 23,Level 24,Level 25,Level 211,Level 221,Level 231,Level 241,Level 26,Level 27,Level 28,Level 29,Level 212,Level 222,Level 232,Level 242,Level 251,Level 2111,Level 2211,Level 2311"/>
    <w:basedOn w:val="Normalny"/>
    <w:next w:val="Normalny"/>
    <w:link w:val="Nagwek2Znak"/>
    <w:qFormat/>
    <w:rsid w:val="00CA71BD"/>
    <w:pPr>
      <w:keepNext/>
      <w:numPr>
        <w:ilvl w:val="1"/>
        <w:numId w:val="8"/>
      </w:numPr>
      <w:suppressAutoHyphens/>
      <w:spacing w:before="240" w:after="120" w:line="23" w:lineRule="atLeast"/>
      <w:ind w:left="578" w:hanging="578"/>
      <w:jc w:val="both"/>
      <w:outlineLvl w:val="1"/>
    </w:pPr>
    <w:rPr>
      <w:rFonts w:ascii="Arial" w:eastAsia="Times New Roman" w:hAnsi="Arial" w:cs="Times New Roman"/>
      <w:b/>
      <w:sz w:val="24"/>
      <w:szCs w:val="20"/>
      <w:lang w:eastAsia="ar-SA"/>
    </w:rPr>
  </w:style>
  <w:style w:type="paragraph" w:styleId="Nagwek3">
    <w:name w:val="heading 3"/>
    <w:basedOn w:val="Normalny"/>
    <w:next w:val="Normalny"/>
    <w:link w:val="Nagwek3Znak"/>
    <w:qFormat/>
    <w:rsid w:val="00CA71BD"/>
    <w:pPr>
      <w:keepNext/>
      <w:numPr>
        <w:ilvl w:val="2"/>
        <w:numId w:val="8"/>
      </w:numPr>
      <w:suppressAutoHyphens/>
      <w:spacing w:before="120" w:after="120" w:line="23" w:lineRule="atLeast"/>
      <w:jc w:val="both"/>
      <w:outlineLvl w:val="2"/>
    </w:pPr>
    <w:rPr>
      <w:rFonts w:ascii="Arial" w:eastAsia="Times New Roman" w:hAnsi="Arial" w:cs="Arial"/>
      <w:b/>
      <w:bCs/>
      <w:sz w:val="24"/>
      <w:szCs w:val="26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CA71BD"/>
    <w:pPr>
      <w:keepNext/>
      <w:numPr>
        <w:ilvl w:val="3"/>
        <w:numId w:val="8"/>
      </w:numPr>
      <w:suppressAutoHyphens/>
      <w:spacing w:before="120" w:after="120" w:line="23" w:lineRule="atLeast"/>
      <w:ind w:left="964" w:hanging="964"/>
      <w:jc w:val="both"/>
      <w:outlineLvl w:val="3"/>
    </w:pPr>
    <w:rPr>
      <w:rFonts w:ascii="Arial" w:eastAsia="Times New Roman" w:hAnsi="Arial" w:cs="Times New Roman"/>
      <w:b/>
      <w:bCs/>
      <w:sz w:val="24"/>
      <w:szCs w:val="28"/>
      <w:lang w:eastAsia="ar-SA"/>
    </w:rPr>
  </w:style>
  <w:style w:type="paragraph" w:styleId="Nagwek5">
    <w:name w:val="heading 5"/>
    <w:basedOn w:val="Normalny"/>
    <w:next w:val="Normalny"/>
    <w:link w:val="Nagwek5Znak"/>
    <w:unhideWhenUsed/>
    <w:qFormat/>
    <w:rsid w:val="00CA71BD"/>
    <w:pPr>
      <w:numPr>
        <w:ilvl w:val="4"/>
        <w:numId w:val="8"/>
      </w:numPr>
      <w:suppressAutoHyphens/>
      <w:spacing w:before="120" w:after="120" w:line="23" w:lineRule="atLeast"/>
      <w:ind w:left="1009" w:hanging="1009"/>
      <w:jc w:val="both"/>
      <w:outlineLvl w:val="4"/>
    </w:pPr>
    <w:rPr>
      <w:rFonts w:ascii="Arial" w:eastAsia="Times New Roman" w:hAnsi="Arial" w:cs="Times New Roman"/>
      <w:b/>
      <w:bCs/>
      <w:iCs/>
      <w:sz w:val="24"/>
      <w:szCs w:val="26"/>
      <w:lang w:eastAsia="ar-SA"/>
    </w:rPr>
  </w:style>
  <w:style w:type="paragraph" w:styleId="Nagwek6">
    <w:name w:val="heading 6"/>
    <w:aliases w:val="Nagłówek 6 Tabela,Tabela, Tabela,Nagłówek6 Tabela"/>
    <w:basedOn w:val="Normalny"/>
    <w:next w:val="Normalny"/>
    <w:link w:val="Nagwek6Znak"/>
    <w:unhideWhenUsed/>
    <w:rsid w:val="00CA71BD"/>
    <w:pPr>
      <w:numPr>
        <w:ilvl w:val="5"/>
        <w:numId w:val="8"/>
      </w:numPr>
      <w:suppressAutoHyphens/>
      <w:spacing w:before="240" w:after="60" w:line="23" w:lineRule="atLeast"/>
      <w:jc w:val="both"/>
      <w:outlineLvl w:val="5"/>
    </w:pPr>
    <w:rPr>
      <w:rFonts w:ascii="Calibri" w:eastAsia="Times New Roman" w:hAnsi="Calibri" w:cs="Times New Roman"/>
      <w:b/>
      <w:bCs/>
      <w:lang w:eastAsia="ar-SA"/>
    </w:rPr>
  </w:style>
  <w:style w:type="paragraph" w:styleId="Nagwek7">
    <w:name w:val="heading 7"/>
    <w:basedOn w:val="Normalny"/>
    <w:next w:val="Normalny"/>
    <w:link w:val="Nagwek7Znak"/>
    <w:unhideWhenUsed/>
    <w:rsid w:val="00CA71BD"/>
    <w:pPr>
      <w:numPr>
        <w:ilvl w:val="6"/>
        <w:numId w:val="8"/>
      </w:numPr>
      <w:suppressAutoHyphens/>
      <w:spacing w:before="240" w:after="60" w:line="23" w:lineRule="atLeast"/>
      <w:jc w:val="both"/>
      <w:outlineLvl w:val="6"/>
    </w:pPr>
    <w:rPr>
      <w:rFonts w:ascii="Calibri" w:eastAsia="Times New Roman" w:hAnsi="Calibri" w:cs="Times New Roman"/>
      <w:sz w:val="24"/>
      <w:szCs w:val="24"/>
      <w:lang w:eastAsia="ar-SA"/>
    </w:rPr>
  </w:style>
  <w:style w:type="paragraph" w:styleId="Nagwek8">
    <w:name w:val="heading 8"/>
    <w:basedOn w:val="Normalny"/>
    <w:next w:val="Normalny"/>
    <w:link w:val="Nagwek8Znak"/>
    <w:unhideWhenUsed/>
    <w:rsid w:val="00CA71BD"/>
    <w:pPr>
      <w:numPr>
        <w:ilvl w:val="7"/>
        <w:numId w:val="8"/>
      </w:numPr>
      <w:suppressAutoHyphens/>
      <w:spacing w:before="240" w:after="60" w:line="23" w:lineRule="atLeast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ar-SA"/>
    </w:rPr>
  </w:style>
  <w:style w:type="paragraph" w:styleId="Nagwek9">
    <w:name w:val="heading 9"/>
    <w:basedOn w:val="Normalny"/>
    <w:next w:val="Normalny"/>
    <w:link w:val="Nagwek9Znak"/>
    <w:unhideWhenUsed/>
    <w:rsid w:val="00CA71BD"/>
    <w:pPr>
      <w:numPr>
        <w:ilvl w:val="8"/>
        <w:numId w:val="8"/>
      </w:numPr>
      <w:suppressAutoHyphens/>
      <w:spacing w:before="240" w:after="60" w:line="23" w:lineRule="atLeast"/>
      <w:jc w:val="both"/>
      <w:outlineLvl w:val="8"/>
    </w:pPr>
    <w:rPr>
      <w:rFonts w:ascii="Cambria" w:eastAsia="Times New Roman" w:hAnsi="Cambria" w:cs="Times New Roman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Ostatni punkt z listy,Wypunktowanie,Numerowanie,Akapit z listą BS"/>
    <w:basedOn w:val="Normalny"/>
    <w:link w:val="AkapitzlistZnak"/>
    <w:uiPriority w:val="34"/>
    <w:qFormat/>
    <w:rsid w:val="0025113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2511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51135"/>
  </w:style>
  <w:style w:type="paragraph" w:styleId="Stopka">
    <w:name w:val="footer"/>
    <w:basedOn w:val="Normalny"/>
    <w:link w:val="StopkaZnak"/>
    <w:uiPriority w:val="99"/>
    <w:unhideWhenUsed/>
    <w:rsid w:val="002511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51135"/>
  </w:style>
  <w:style w:type="paragraph" w:styleId="Tekstdymka">
    <w:name w:val="Balloon Text"/>
    <w:basedOn w:val="Normalny"/>
    <w:link w:val="TekstdymkaZnak"/>
    <w:uiPriority w:val="99"/>
    <w:semiHidden/>
    <w:unhideWhenUsed/>
    <w:rsid w:val="00EE5F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5FEB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7264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7264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72647"/>
    <w:rPr>
      <w:vertAlign w:val="superscript"/>
    </w:rPr>
  </w:style>
  <w:style w:type="character" w:customStyle="1" w:styleId="Nagwek1Znak">
    <w:name w:val="Nagłówek 1 Znak"/>
    <w:aliases w:val="Nagłówek 1F Znak,Level 1 Znak,Level 11 Znak,Level 12 Znak,Level 13 Znak,Level 14 Znak,Level 15 Znak,Level 111 Znak,Level 121 Znak,Level 131 Znak,Level 141 Znak,Level 16 Znak,Level 17 Znak,Level 18 Znak,Level 19 Znak,Level 112 Znak"/>
    <w:basedOn w:val="Domylnaczcionkaakapitu"/>
    <w:link w:val="Nagwek1"/>
    <w:rsid w:val="00CA71BD"/>
    <w:rPr>
      <w:rFonts w:ascii="Arial" w:eastAsia="Times New Roman" w:hAnsi="Arial" w:cs="Arial"/>
      <w:b/>
      <w:sz w:val="28"/>
      <w:szCs w:val="20"/>
      <w:lang w:eastAsia="ar-SA"/>
    </w:rPr>
  </w:style>
  <w:style w:type="character" w:customStyle="1" w:styleId="Nagwek2Znak">
    <w:name w:val="Nagłówek 2 Znak"/>
    <w:aliases w:val="Nagłowek 2 Znak,adpis 2 Znak,Gliederung2 Znak,Level 2 Znak,Level 21 Znak,Level 22 Znak,Level 23 Znak,Level 24 Znak,Level 25 Znak,Level 211 Znak,Level 221 Znak,Level 231 Znak,Level 241 Znak,Level 26 Znak,Level 27 Znak,Level 28 Znak"/>
    <w:basedOn w:val="Domylnaczcionkaakapitu"/>
    <w:link w:val="Nagwek2"/>
    <w:rsid w:val="00CA71BD"/>
    <w:rPr>
      <w:rFonts w:ascii="Arial" w:eastAsia="Times New Roman" w:hAnsi="Arial" w:cs="Times New Roman"/>
      <w:b/>
      <w:sz w:val="24"/>
      <w:szCs w:val="20"/>
      <w:lang w:eastAsia="ar-SA"/>
    </w:rPr>
  </w:style>
  <w:style w:type="character" w:customStyle="1" w:styleId="Nagwek3Znak">
    <w:name w:val="Nagłówek 3 Znak"/>
    <w:basedOn w:val="Domylnaczcionkaakapitu"/>
    <w:link w:val="Nagwek3"/>
    <w:rsid w:val="00CA71BD"/>
    <w:rPr>
      <w:rFonts w:ascii="Arial" w:eastAsia="Times New Roman" w:hAnsi="Arial" w:cs="Arial"/>
      <w:b/>
      <w:bCs/>
      <w:sz w:val="24"/>
      <w:szCs w:val="26"/>
      <w:lang w:eastAsia="ar-SA"/>
    </w:rPr>
  </w:style>
  <w:style w:type="character" w:customStyle="1" w:styleId="Nagwek4Znak">
    <w:name w:val="Nagłówek 4 Znak"/>
    <w:basedOn w:val="Domylnaczcionkaakapitu"/>
    <w:link w:val="Nagwek4"/>
    <w:rsid w:val="00CA71BD"/>
    <w:rPr>
      <w:rFonts w:ascii="Arial" w:eastAsia="Times New Roman" w:hAnsi="Arial" w:cs="Times New Roman"/>
      <w:b/>
      <w:bCs/>
      <w:sz w:val="24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rsid w:val="00CA71BD"/>
    <w:rPr>
      <w:rFonts w:ascii="Arial" w:eastAsia="Times New Roman" w:hAnsi="Arial" w:cs="Times New Roman"/>
      <w:b/>
      <w:bCs/>
      <w:iCs/>
      <w:sz w:val="24"/>
      <w:szCs w:val="26"/>
      <w:lang w:eastAsia="ar-SA"/>
    </w:rPr>
  </w:style>
  <w:style w:type="character" w:customStyle="1" w:styleId="Nagwek6Znak">
    <w:name w:val="Nagłówek 6 Znak"/>
    <w:aliases w:val="Nagłówek 6 Tabela Znak,Tabela Znak, Tabela Znak,Nagłówek6 Tabela Znak"/>
    <w:basedOn w:val="Domylnaczcionkaakapitu"/>
    <w:link w:val="Nagwek6"/>
    <w:rsid w:val="00CA71BD"/>
    <w:rPr>
      <w:rFonts w:ascii="Calibri" w:eastAsia="Times New Roman" w:hAnsi="Calibri" w:cs="Times New Roman"/>
      <w:b/>
      <w:bCs/>
      <w:lang w:eastAsia="ar-SA"/>
    </w:rPr>
  </w:style>
  <w:style w:type="character" w:customStyle="1" w:styleId="Nagwek7Znak">
    <w:name w:val="Nagłówek 7 Znak"/>
    <w:basedOn w:val="Domylnaczcionkaakapitu"/>
    <w:link w:val="Nagwek7"/>
    <w:rsid w:val="00CA71BD"/>
    <w:rPr>
      <w:rFonts w:ascii="Calibri" w:eastAsia="Times New Roman" w:hAnsi="Calibri" w:cs="Times New Roman"/>
      <w:sz w:val="2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CA71BD"/>
    <w:rPr>
      <w:rFonts w:ascii="Calibri" w:eastAsia="Times New Roman" w:hAnsi="Calibri" w:cs="Times New Roman"/>
      <w:i/>
      <w:iCs/>
      <w:sz w:val="24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CA71BD"/>
    <w:rPr>
      <w:rFonts w:ascii="Cambria" w:eastAsia="Times New Roman" w:hAnsi="Cambria" w:cs="Times New Roman"/>
      <w:lang w:eastAsia="ar-SA"/>
    </w:rPr>
  </w:style>
  <w:style w:type="paragraph" w:customStyle="1" w:styleId="Punkty">
    <w:name w:val="Punkty"/>
    <w:basedOn w:val="Normalny"/>
    <w:qFormat/>
    <w:rsid w:val="00CA71BD"/>
    <w:pPr>
      <w:numPr>
        <w:numId w:val="9"/>
      </w:numPr>
      <w:overflowPunct w:val="0"/>
      <w:autoSpaceDE w:val="0"/>
      <w:autoSpaceDN w:val="0"/>
      <w:adjustRightInd w:val="0"/>
      <w:spacing w:after="120" w:line="300" w:lineRule="atLeast"/>
      <w:ind w:left="357" w:hanging="357"/>
      <w:contextualSpacing/>
      <w:jc w:val="both"/>
      <w:textAlignment w:val="baseline"/>
    </w:pPr>
    <w:rPr>
      <w:rFonts w:ascii="Arial" w:eastAsia="Times New Roman" w:hAnsi="Arial" w:cs="Times New Roman"/>
      <w:szCs w:val="24"/>
      <w:lang w:eastAsia="pl-PL"/>
    </w:rPr>
  </w:style>
  <w:style w:type="character" w:customStyle="1" w:styleId="AkapitzlistZnak">
    <w:name w:val="Akapit z listą Znak"/>
    <w:aliases w:val="Ostatni punkt z listy Znak,Wypunktowanie Znak,Numerowanie Znak,Akapit z listą BS Znak"/>
    <w:link w:val="Akapitzlist"/>
    <w:uiPriority w:val="34"/>
    <w:qFormat/>
    <w:rsid w:val="00CA71BD"/>
  </w:style>
  <w:style w:type="paragraph" w:customStyle="1" w:styleId="Numeracja">
    <w:name w:val="Numeracja"/>
    <w:basedOn w:val="Akapitzlist"/>
    <w:link w:val="NumeracjaZnak"/>
    <w:uiPriority w:val="5"/>
    <w:qFormat/>
    <w:rsid w:val="00CA71BD"/>
    <w:pPr>
      <w:numPr>
        <w:numId w:val="10"/>
      </w:numPr>
      <w:overflowPunct w:val="0"/>
      <w:autoSpaceDE w:val="0"/>
      <w:autoSpaceDN w:val="0"/>
      <w:adjustRightInd w:val="0"/>
      <w:spacing w:after="120" w:line="300" w:lineRule="atLeast"/>
      <w:ind w:left="357" w:hanging="357"/>
      <w:contextualSpacing w:val="0"/>
      <w:jc w:val="both"/>
      <w:textAlignment w:val="baseline"/>
    </w:pPr>
    <w:rPr>
      <w:rFonts w:ascii="Arial" w:eastAsia="Calibri" w:hAnsi="Arial" w:cs="Times New Roman"/>
      <w:szCs w:val="24"/>
      <w:lang w:eastAsia="pl-PL"/>
    </w:rPr>
  </w:style>
  <w:style w:type="character" w:customStyle="1" w:styleId="NumeracjaZnak">
    <w:name w:val="Numeracja Znak"/>
    <w:basedOn w:val="AkapitzlistZnak"/>
    <w:link w:val="Numeracja"/>
    <w:uiPriority w:val="5"/>
    <w:rsid w:val="00CA71BD"/>
    <w:rPr>
      <w:rFonts w:ascii="Arial" w:eastAsia="Calibri" w:hAnsi="Arial" w:cs="Times New Roman"/>
      <w:szCs w:val="24"/>
      <w:lang w:eastAsia="pl-PL"/>
    </w:rPr>
  </w:style>
  <w:style w:type="paragraph" w:customStyle="1" w:styleId="Potabeli">
    <w:name w:val="Po tabeli"/>
    <w:basedOn w:val="Normalny"/>
    <w:link w:val="PotabeliZnak"/>
    <w:uiPriority w:val="7"/>
    <w:qFormat/>
    <w:rsid w:val="00CA71BD"/>
    <w:pPr>
      <w:widowControl w:val="0"/>
      <w:autoSpaceDE w:val="0"/>
      <w:autoSpaceDN w:val="0"/>
      <w:spacing w:before="120" w:after="120" w:line="300" w:lineRule="atLeast"/>
      <w:jc w:val="both"/>
    </w:pPr>
    <w:rPr>
      <w:rFonts w:ascii="Arial" w:eastAsia="Arial" w:hAnsi="Arial" w:cs="Arial"/>
    </w:rPr>
  </w:style>
  <w:style w:type="character" w:customStyle="1" w:styleId="PotabeliZnak">
    <w:name w:val="Po tabeli Znak"/>
    <w:basedOn w:val="Domylnaczcionkaakapitu"/>
    <w:link w:val="Potabeli"/>
    <w:uiPriority w:val="7"/>
    <w:rsid w:val="00CA71BD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iedza.pkn.pl/wyszukiwarka-norm?p_auth=GaI964XQ&amp;p_p_id=searchstandards_WAR_p4scustomerpknzwnelsearchstandardsportlet&amp;p_p_lifecycle=1&amp;p_p_state=normal&amp;p_p_mode=view&amp;p_p_col_id=column-1&amp;p_p_col_count=1&amp;_searchstandards_WAR_p4scustomerpknzwnelsearchstandardsportlet_standardNumber=PN-B-02865%3A1997P&amp;_searchstandards_WAR_p4scustomerpknzwnelsearchstandardsportlet_javax.portlet.action=showStandardDetailsAction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iedza.pkn.pl/wyszukiwarka-norm?p_auth=GaI964XQ&amp;p_p_id=searchstandards_WAR_p4scustomerpknzwnelsearchstandardsportlet&amp;p_p_lifecycle=1&amp;p_p_state=normal&amp;p_p_mode=view&amp;p_p_col_id=column-1&amp;p_p_col_count=1&amp;_searchstandards_WAR_p4scustomerpknzwnelsearchstandardsportlet_standardNumber=PN-B-02865%3A1997P&amp;_searchstandards_WAR_p4scustomerpknzwnelsearchstandardsportlet_javax.portlet.action=showStandardDetailsAction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47477C-89B4-4DB1-BFE5-6DBFE38913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2338</Words>
  <Characters>14030</Characters>
  <Application>Microsoft Office Word</Application>
  <DocSecurity>0</DocSecurity>
  <Lines>116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Bogusław Pal</dc:creator>
  <cp:lastModifiedBy>Mariusz Rakowski</cp:lastModifiedBy>
  <cp:revision>4</cp:revision>
  <cp:lastPrinted>2026-01-16T11:05:00Z</cp:lastPrinted>
  <dcterms:created xsi:type="dcterms:W3CDTF">2026-01-16T14:00:00Z</dcterms:created>
  <dcterms:modified xsi:type="dcterms:W3CDTF">2026-01-18T22:57:00Z</dcterms:modified>
</cp:coreProperties>
</file>